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太重榆液长治液压有限公司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2023年10月13日 上午至2023年10月13日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