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受审核部门：管理层、行政部、生产部、市场部、质检部、财务部，陪同：汪晓虹</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spacing w:before="120"/>
            </w:pPr>
            <w:r>
              <w:rPr>
                <w:rFonts w:hint="eastAsia"/>
                <w:sz w:val="24"/>
                <w:szCs w:val="24"/>
              </w:rPr>
              <w:t>审核员：伍光华</w:t>
            </w:r>
            <w:r>
              <w:rPr>
                <w:rFonts w:hint="eastAsia"/>
                <w:sz w:val="24"/>
                <w:szCs w:val="24"/>
                <w:lang w:eastAsia="zh-CN"/>
              </w:rPr>
              <w:t>（</w:t>
            </w:r>
            <w:r>
              <w:rPr>
                <w:rFonts w:hint="eastAsia"/>
                <w:sz w:val="24"/>
                <w:szCs w:val="24"/>
                <w:lang w:val="en-US" w:eastAsia="zh-CN"/>
              </w:rPr>
              <w:t>见证人</w:t>
            </w:r>
            <w:r>
              <w:rPr>
                <w:rFonts w:hint="eastAsia"/>
                <w:sz w:val="24"/>
                <w:szCs w:val="24"/>
                <w:lang w:eastAsia="zh-CN"/>
              </w:rPr>
              <w:t>）、</w:t>
            </w:r>
            <w:r>
              <w:rPr>
                <w:rFonts w:hint="eastAsia"/>
                <w:sz w:val="24"/>
                <w:szCs w:val="24"/>
                <w:lang w:val="en-US" w:eastAsia="zh-CN"/>
              </w:rPr>
              <w:t>文波（被见证人）</w:t>
            </w:r>
            <w:r>
              <w:rPr>
                <w:rFonts w:hint="eastAsia"/>
                <w:sz w:val="24"/>
                <w:szCs w:val="24"/>
              </w:rPr>
              <w:t xml:space="preserve">    审核时间：</w:t>
            </w:r>
            <w:r>
              <w:rPr>
                <w:sz w:val="24"/>
                <w:szCs w:val="24"/>
              </w:rPr>
              <w:t xml:space="preserve"> 20</w:t>
            </w:r>
            <w:r>
              <w:rPr>
                <w:rFonts w:hint="eastAsia"/>
                <w:sz w:val="24"/>
                <w:szCs w:val="24"/>
              </w:rPr>
              <w:t>20年4月9日</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rPr>
                <w:sz w:val="24"/>
                <w:szCs w:val="24"/>
              </w:rPr>
            </w:pPr>
            <w:r>
              <w:rPr>
                <w:rFonts w:hint="eastAsia"/>
                <w:sz w:val="24"/>
                <w:szCs w:val="24"/>
              </w:rPr>
              <w:t>审核条款：</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widowControl/>
              <w:jc w:val="left"/>
              <w:rPr>
                <w:rFonts w:hint="eastAsia" w:ascii="宋体" w:hAnsi="宋体" w:cs="宋体"/>
                <w:bCs/>
                <w:color w:val="000000"/>
                <w:kern w:val="0"/>
                <w:szCs w:val="21"/>
              </w:rPr>
            </w:pPr>
            <w:r>
              <w:rPr>
                <w:rFonts w:hint="eastAsia" w:ascii="宋体" w:hAnsi="宋体" w:cs="宋体"/>
                <w:bCs/>
                <w:color w:val="000000"/>
                <w:kern w:val="0"/>
                <w:szCs w:val="21"/>
              </w:rPr>
              <w:t xml:space="preserve">1) 方针的制定与贯彻情况  </w:t>
            </w:r>
          </w:p>
          <w:p>
            <w:pPr>
              <w:widowControl/>
              <w:jc w:val="left"/>
              <w:rPr>
                <w:rFonts w:hint="eastAsia" w:ascii="宋体" w:hAnsi="宋体" w:cs="宋体"/>
                <w:bCs/>
              </w:rPr>
            </w:pPr>
          </w:p>
          <w:p>
            <w:pPr>
              <w:widowControl/>
              <w:jc w:val="left"/>
              <w:rPr>
                <w:rFonts w:hint="eastAsia" w:ascii="宋体" w:hAnsi="宋体" w:cs="宋体"/>
                <w:bCs/>
              </w:rPr>
            </w:pPr>
          </w:p>
          <w:p>
            <w:pPr>
              <w:widowControl/>
              <w:jc w:val="left"/>
              <w:rPr>
                <w:rFonts w:hint="eastAsia" w:ascii="宋体" w:hAnsi="宋体" w:cs="宋体"/>
                <w:bCs/>
              </w:rPr>
            </w:pPr>
          </w:p>
          <w:p>
            <w:pPr>
              <w:widowControl/>
              <w:jc w:val="left"/>
              <w:rPr>
                <w:rFonts w:hint="eastAsia" w:ascii="宋体" w:hAnsi="宋体" w:cs="宋体"/>
                <w:bCs/>
              </w:rPr>
            </w:pPr>
          </w:p>
          <w:p>
            <w:pPr>
              <w:widowControl/>
              <w:jc w:val="left"/>
              <w:rPr>
                <w:rFonts w:ascii="宋体" w:hAnsi="宋体" w:cs="宋体"/>
                <w:bCs/>
              </w:rPr>
            </w:pPr>
          </w:p>
          <w:p>
            <w:pPr>
              <w:widowControl/>
              <w:jc w:val="left"/>
              <w:rPr>
                <w:rFonts w:hint="eastAsia" w:ascii="宋体" w:hAnsi="宋体" w:cs="宋体"/>
                <w:bCs/>
                <w:color w:val="000000"/>
                <w:kern w:val="0"/>
                <w:szCs w:val="21"/>
              </w:rPr>
            </w:pPr>
            <w:r>
              <w:rPr>
                <w:rFonts w:hint="eastAsia" w:ascii="宋体" w:hAnsi="宋体" w:cs="宋体"/>
                <w:bCs/>
                <w:color w:val="000000"/>
                <w:kern w:val="0"/>
                <w:szCs w:val="21"/>
              </w:rPr>
              <w:t xml:space="preserve">2) 危险源的辨识和评价程序合理性 </w:t>
            </w:r>
          </w:p>
          <w:p>
            <w:pPr>
              <w:widowControl/>
              <w:jc w:val="left"/>
              <w:rPr>
                <w:rFonts w:hint="eastAsia" w:ascii="宋体" w:hAnsi="宋体" w:cs="宋体"/>
                <w:bCs/>
                <w:color w:val="000000"/>
                <w:kern w:val="0"/>
                <w:szCs w:val="21"/>
              </w:rPr>
            </w:pPr>
          </w:p>
          <w:p>
            <w:pPr>
              <w:widowControl/>
              <w:jc w:val="left"/>
              <w:rPr>
                <w:rFonts w:hint="eastAsia" w:ascii="宋体" w:hAnsi="宋体" w:cs="宋体"/>
                <w:bCs/>
              </w:rPr>
            </w:pPr>
          </w:p>
          <w:p>
            <w:pPr>
              <w:widowControl/>
              <w:jc w:val="left"/>
              <w:rPr>
                <w:rFonts w:hint="eastAsia" w:ascii="宋体" w:hAnsi="宋体" w:cs="宋体"/>
                <w:bCs/>
              </w:rPr>
            </w:pPr>
          </w:p>
          <w:p>
            <w:pPr>
              <w:widowControl/>
              <w:jc w:val="left"/>
              <w:rPr>
                <w:rFonts w:ascii="宋体" w:hAnsi="宋体" w:cs="宋体"/>
                <w:bCs/>
              </w:rPr>
            </w:pPr>
          </w:p>
          <w:p>
            <w:pPr>
              <w:widowControl/>
              <w:jc w:val="left"/>
              <w:rPr>
                <w:rFonts w:hint="eastAsia" w:ascii="宋体" w:hAnsi="宋体" w:cs="宋体"/>
                <w:bCs/>
                <w:color w:val="000000"/>
                <w:kern w:val="0"/>
                <w:szCs w:val="21"/>
              </w:rPr>
            </w:pPr>
            <w:r>
              <w:rPr>
                <w:rFonts w:hint="eastAsia" w:ascii="宋体" w:hAnsi="宋体" w:cs="宋体"/>
                <w:bCs/>
                <w:color w:val="000000"/>
                <w:kern w:val="0"/>
                <w:szCs w:val="21"/>
              </w:rPr>
              <w:t xml:space="preserve">3) 适用的法律和其他要求的获取、识别程序实施情况 </w:t>
            </w:r>
          </w:p>
          <w:p>
            <w:pPr>
              <w:widowControl/>
              <w:jc w:val="left"/>
              <w:rPr>
                <w:rFonts w:hint="eastAsia" w:ascii="宋体" w:hAnsi="宋体" w:cs="宋体"/>
                <w:bCs/>
                <w:color w:val="000000"/>
                <w:kern w:val="0"/>
                <w:szCs w:val="21"/>
              </w:rPr>
            </w:pPr>
          </w:p>
          <w:p>
            <w:pPr>
              <w:widowControl/>
              <w:jc w:val="left"/>
              <w:rPr>
                <w:rFonts w:hint="eastAsia" w:ascii="宋体" w:hAnsi="宋体" w:cs="宋体"/>
                <w:bCs/>
              </w:rPr>
            </w:pPr>
          </w:p>
          <w:p>
            <w:pPr>
              <w:widowControl/>
              <w:jc w:val="left"/>
              <w:rPr>
                <w:rFonts w:hint="eastAsia" w:ascii="宋体" w:hAnsi="宋体" w:cs="宋体"/>
                <w:bCs/>
              </w:rPr>
            </w:pPr>
          </w:p>
          <w:p>
            <w:pPr>
              <w:widowControl/>
              <w:jc w:val="left"/>
              <w:rPr>
                <w:rFonts w:hint="eastAsia" w:ascii="宋体" w:hAnsi="宋体" w:cs="宋体"/>
                <w:bCs/>
              </w:rPr>
            </w:pPr>
          </w:p>
          <w:p>
            <w:pPr>
              <w:widowControl/>
              <w:jc w:val="left"/>
              <w:rPr>
                <w:rFonts w:hint="eastAsia" w:ascii="宋体" w:hAnsi="宋体" w:cs="宋体"/>
                <w:bCs/>
              </w:rPr>
            </w:pPr>
          </w:p>
          <w:p>
            <w:pPr>
              <w:widowControl/>
              <w:jc w:val="left"/>
              <w:rPr>
                <w:rFonts w:ascii="宋体" w:hAnsi="宋体" w:cs="宋体"/>
                <w:bCs/>
              </w:rPr>
            </w:pPr>
          </w:p>
          <w:p>
            <w:pPr>
              <w:widowControl/>
              <w:jc w:val="left"/>
              <w:rPr>
                <w:rFonts w:ascii="宋体" w:hAnsi="宋体" w:cs="宋体"/>
                <w:bCs/>
              </w:rPr>
            </w:pPr>
            <w:r>
              <w:rPr>
                <w:rFonts w:hint="eastAsia" w:ascii="宋体" w:hAnsi="宋体" w:cs="宋体"/>
                <w:bCs/>
                <w:color w:val="000000"/>
                <w:kern w:val="0"/>
                <w:szCs w:val="21"/>
              </w:rPr>
              <w:t>4) 组织的目标、指标和管理方案合理性及实施情况</w:t>
            </w: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hint="eastAsia" w:ascii="宋体" w:hAnsi="宋体"/>
                <w:szCs w:val="21"/>
              </w:rPr>
            </w:pPr>
          </w:p>
          <w:p>
            <w:pPr>
              <w:spacing w:line="400" w:lineRule="exact"/>
              <w:rPr>
                <w:szCs w:val="21"/>
              </w:rPr>
            </w:pPr>
          </w:p>
          <w:p>
            <w:pPr>
              <w:spacing w:line="400" w:lineRule="exact"/>
              <w:rPr>
                <w:szCs w:val="21"/>
              </w:rPr>
            </w:pPr>
          </w:p>
          <w:p>
            <w:pPr>
              <w:adjustRightInd w:val="0"/>
              <w:snapToGrid w:val="0"/>
              <w:spacing w:line="360" w:lineRule="auto"/>
              <w:ind w:firstLine="420" w:firstLineChars="200"/>
              <w:rPr>
                <w:rFonts w:ascii="宋体"/>
                <w:szCs w:val="21"/>
              </w:rPr>
            </w:pPr>
            <w:r>
              <w:rPr>
                <w:rFonts w:ascii="宋体"/>
                <w:szCs w:val="21"/>
              </w:rPr>
              <w:t>现场查看</w:t>
            </w:r>
          </w:p>
          <w:p>
            <w:pPr>
              <w:spacing w:line="400" w:lineRule="exact"/>
            </w:pPr>
          </w:p>
        </w:tc>
        <w:tc>
          <w:tcPr>
            <w:tcW w:w="960" w:type="dxa"/>
          </w:tcPr>
          <w:p/>
        </w:tc>
        <w:tc>
          <w:tcPr>
            <w:tcW w:w="10596" w:type="dxa"/>
          </w:tcPr>
          <w:p>
            <w:pPr>
              <w:tabs>
                <w:tab w:val="left" w:pos="426"/>
              </w:tabs>
              <w:spacing w:beforeLines="20" w:afterLines="20" w:line="288" w:lineRule="auto"/>
              <w:ind w:firstLine="420" w:firstLineChars="200"/>
              <w:rPr>
                <w:color w:val="000000"/>
                <w:szCs w:val="21"/>
              </w:rPr>
            </w:pPr>
            <w:r>
              <w:rPr>
                <w:rFonts w:hint="eastAsia"/>
                <w:color w:val="000000"/>
                <w:szCs w:val="21"/>
              </w:rPr>
              <w:t>公司的职业健康安全的方针：</w:t>
            </w:r>
          </w:p>
          <w:p>
            <w:pPr>
              <w:tabs>
                <w:tab w:val="left" w:pos="426"/>
              </w:tabs>
              <w:spacing w:beforeLines="20" w:afterLines="20" w:line="288" w:lineRule="auto"/>
              <w:ind w:firstLine="420" w:firstLineChars="200"/>
              <w:rPr>
                <w:color w:val="000000"/>
                <w:szCs w:val="21"/>
              </w:rPr>
            </w:pPr>
            <w:r>
              <w:rPr>
                <w:rFonts w:hint="eastAsia"/>
                <w:color w:val="000000"/>
                <w:szCs w:val="21"/>
              </w:rPr>
              <w:t xml:space="preserve">质量至上、持续创新、诚实守信、顾客至上 </w:t>
            </w:r>
          </w:p>
          <w:p>
            <w:pPr>
              <w:tabs>
                <w:tab w:val="left" w:pos="426"/>
              </w:tabs>
              <w:spacing w:beforeLines="20" w:afterLines="20" w:line="288" w:lineRule="auto"/>
              <w:ind w:firstLine="420" w:firstLineChars="200"/>
              <w:rPr>
                <w:color w:val="000000"/>
                <w:szCs w:val="21"/>
              </w:rPr>
            </w:pPr>
            <w:r>
              <w:rPr>
                <w:rFonts w:hint="eastAsia"/>
                <w:color w:val="000000"/>
                <w:szCs w:val="21"/>
              </w:rPr>
              <w:t>预防为主，降低风险；遵章守法，创造和谐。</w:t>
            </w:r>
          </w:p>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rPr>
                <w:color w:val="000000"/>
                <w:szCs w:val="21"/>
              </w:rPr>
            </w:pPr>
            <w:r>
              <w:rPr>
                <w:rFonts w:hint="eastAsia"/>
                <w:color w:val="000000"/>
                <w:szCs w:val="21"/>
              </w:rPr>
              <w:t>提供了“不可接受风险清单”，</w:t>
            </w:r>
          </w:p>
          <w:p>
            <w:pPr>
              <w:tabs>
                <w:tab w:val="left" w:pos="426"/>
              </w:tabs>
              <w:spacing w:beforeLines="20" w:afterLines="20" w:line="288" w:lineRule="auto"/>
              <w:ind w:firstLine="420" w:firstLineChars="200"/>
              <w:rPr>
                <w:color w:val="000000"/>
                <w:szCs w:val="21"/>
              </w:rPr>
            </w:pPr>
            <w:r>
              <w:rPr>
                <w:rFonts w:hint="eastAsia"/>
                <w:color w:val="000000"/>
                <w:szCs w:val="21"/>
              </w:rPr>
              <w:t>潜在火灾、触电、机械伤害、潜在职业病等。提供了《火灾事故应急预案》《机械伤害应急预案》《触电事故应急预案》《新型冠状病毒感染的肺炎疫情防控应急预案》，安全操作规程等；但危险源识别不够充分，不可接受风险评价与危险源识别清单中分级不相符，</w:t>
            </w:r>
            <w:r>
              <w:rPr>
                <w:rFonts w:hint="eastAsia"/>
                <w:color w:val="000000"/>
                <w:sz w:val="21"/>
                <w:szCs w:val="21"/>
                <w:lang w:val="en-US" w:eastAsia="zh-CN"/>
              </w:rPr>
              <w:t>未识别办公和生产区域触电的危险源，</w:t>
            </w:r>
            <w:r>
              <w:rPr>
                <w:rFonts w:hint="eastAsia"/>
                <w:color w:val="000000"/>
                <w:szCs w:val="21"/>
              </w:rPr>
              <w:t>开具不符合项要求改善。</w:t>
            </w:r>
            <w:r>
              <w:rPr>
                <w:color w:val="000000"/>
                <w:szCs w:val="21"/>
              </w:rPr>
              <w:t xml:space="preserve"> </w:t>
            </w:r>
          </w:p>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rPr>
                <w:color w:val="000000"/>
                <w:szCs w:val="21"/>
              </w:rPr>
            </w:pPr>
            <w:r>
              <w:rPr>
                <w:rFonts w:hint="eastAsia"/>
                <w:color w:val="000000"/>
                <w:szCs w:val="21"/>
              </w:rPr>
              <w:t>提供了法律、法规和其他要求清单</w:t>
            </w:r>
          </w:p>
          <w:p>
            <w:pPr>
              <w:tabs>
                <w:tab w:val="left" w:pos="426"/>
              </w:tabs>
              <w:spacing w:beforeLines="20" w:afterLines="20" w:line="288" w:lineRule="auto"/>
              <w:ind w:firstLine="420" w:firstLineChars="200"/>
              <w:rPr>
                <w:color w:val="000000"/>
                <w:szCs w:val="21"/>
              </w:rPr>
            </w:pPr>
            <w:r>
              <w:rPr>
                <w:rFonts w:hint="eastAsia"/>
                <w:color w:val="000000"/>
                <w:szCs w:val="21"/>
              </w:rPr>
              <w:t>提供了《安全法律法规及其它要求清单》、提供了《外来文件清单》</w:t>
            </w:r>
          </w:p>
          <w:p>
            <w:pPr>
              <w:tabs>
                <w:tab w:val="left" w:pos="426"/>
              </w:tabs>
              <w:spacing w:beforeLines="20" w:afterLines="20" w:line="288" w:lineRule="auto"/>
              <w:ind w:firstLine="420" w:firstLineChars="200"/>
              <w:rPr>
                <w:color w:val="000000"/>
                <w:szCs w:val="21"/>
              </w:rPr>
            </w:pPr>
            <w:r>
              <w:rPr>
                <w:rFonts w:hint="eastAsia"/>
                <w:color w:val="000000"/>
                <w:szCs w:val="21"/>
              </w:rPr>
              <w:t>“外来文件清单”提供了与金属家具产品相关的法律法规及职业健康安全相关的法律法规，基本符合要求。</w:t>
            </w:r>
          </w:p>
          <w:p>
            <w:pPr>
              <w:tabs>
                <w:tab w:val="left" w:pos="426"/>
              </w:tabs>
              <w:spacing w:beforeLines="20" w:afterLines="20" w:line="288" w:lineRule="auto"/>
              <w:ind w:firstLine="420" w:firstLineChars="200"/>
              <w:rPr>
                <w:color w:val="000000"/>
                <w:szCs w:val="21"/>
              </w:rPr>
            </w:pPr>
            <w:r>
              <w:rPr>
                <w:rFonts w:hint="eastAsia"/>
                <w:color w:val="000000"/>
                <w:szCs w:val="21"/>
              </w:rPr>
              <w:t>相关方投诉情况：无。</w:t>
            </w:r>
          </w:p>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rPr>
                <w:color w:val="000000"/>
                <w:szCs w:val="21"/>
              </w:rPr>
            </w:pPr>
            <w:r>
              <w:rPr>
                <w:rFonts w:hint="eastAsia"/>
                <w:color w:val="000000"/>
                <w:szCs w:val="21"/>
              </w:rPr>
              <w:t>管理目标：</w:t>
            </w:r>
          </w:p>
          <w:p>
            <w:pPr>
              <w:tabs>
                <w:tab w:val="left" w:pos="426"/>
              </w:tabs>
              <w:spacing w:beforeLines="20" w:afterLines="20" w:line="288" w:lineRule="auto"/>
              <w:ind w:firstLine="420" w:firstLineChars="200"/>
              <w:rPr>
                <w:color w:val="000000"/>
                <w:szCs w:val="21"/>
              </w:rPr>
            </w:pPr>
            <w:r>
              <w:rPr>
                <w:rFonts w:hint="eastAsia"/>
                <w:color w:val="000000"/>
                <w:szCs w:val="21"/>
              </w:rPr>
              <w:t>环保安全目标：</w:t>
            </w:r>
          </w:p>
          <w:p>
            <w:pPr>
              <w:tabs>
                <w:tab w:val="left" w:pos="426"/>
              </w:tabs>
              <w:spacing w:beforeLines="20" w:afterLines="20" w:line="288" w:lineRule="auto"/>
              <w:ind w:firstLine="420" w:firstLineChars="200"/>
              <w:rPr>
                <w:color w:val="000000"/>
                <w:szCs w:val="21"/>
              </w:rPr>
            </w:pPr>
            <w:r>
              <w:rPr>
                <w:rFonts w:hint="eastAsia"/>
                <w:color w:val="000000"/>
                <w:szCs w:val="21"/>
              </w:rPr>
              <w:t>固体废弃物分类管理，处理率为100%；</w:t>
            </w:r>
          </w:p>
          <w:p>
            <w:pPr>
              <w:tabs>
                <w:tab w:val="left" w:pos="426"/>
              </w:tabs>
              <w:spacing w:beforeLines="20" w:afterLines="20" w:line="288" w:lineRule="auto"/>
              <w:ind w:firstLine="420" w:firstLineChars="200"/>
              <w:rPr>
                <w:color w:val="000000"/>
                <w:szCs w:val="21"/>
              </w:rPr>
            </w:pPr>
            <w:r>
              <w:rPr>
                <w:rFonts w:hint="eastAsia"/>
                <w:color w:val="000000"/>
                <w:szCs w:val="21"/>
              </w:rPr>
              <w:t xml:space="preserve">   重大火灾事故为零；</w:t>
            </w:r>
          </w:p>
          <w:p>
            <w:pPr>
              <w:tabs>
                <w:tab w:val="left" w:pos="426"/>
              </w:tabs>
              <w:spacing w:beforeLines="20" w:afterLines="20" w:line="288" w:lineRule="auto"/>
              <w:ind w:firstLine="420" w:firstLineChars="200"/>
              <w:rPr>
                <w:color w:val="000000"/>
                <w:szCs w:val="21"/>
              </w:rPr>
            </w:pPr>
            <w:r>
              <w:rPr>
                <w:rFonts w:hint="eastAsia"/>
                <w:color w:val="000000"/>
                <w:szCs w:val="21"/>
              </w:rPr>
              <w:t xml:space="preserve">   职业病发病率为零；</w:t>
            </w:r>
          </w:p>
          <w:p>
            <w:pPr>
              <w:tabs>
                <w:tab w:val="left" w:pos="426"/>
              </w:tabs>
              <w:spacing w:beforeLines="20" w:afterLines="20" w:line="288" w:lineRule="auto"/>
              <w:ind w:firstLine="420" w:firstLineChars="200"/>
              <w:rPr>
                <w:color w:val="000000"/>
                <w:szCs w:val="21"/>
              </w:rPr>
            </w:pPr>
            <w:r>
              <w:rPr>
                <w:rFonts w:hint="eastAsia"/>
                <w:color w:val="000000"/>
                <w:szCs w:val="21"/>
              </w:rPr>
              <w:t xml:space="preserve">   员工重大责任伤亡率为0；</w:t>
            </w:r>
          </w:p>
          <w:p>
            <w:pPr>
              <w:tabs>
                <w:tab w:val="left" w:pos="426"/>
              </w:tabs>
              <w:spacing w:beforeLines="20" w:afterLines="20" w:line="288" w:lineRule="auto"/>
              <w:ind w:firstLine="420" w:firstLineChars="200"/>
              <w:rPr>
                <w:color w:val="000000"/>
                <w:szCs w:val="21"/>
              </w:rPr>
            </w:pPr>
            <w:r>
              <w:rPr>
                <w:rFonts w:hint="eastAsia"/>
                <w:color w:val="000000"/>
                <w:szCs w:val="21"/>
              </w:rPr>
              <w:t>提供了本公司的职业健康安全管理方案和控制措施，有编制人、审批人签字，二阶段进行进一步关注。</w:t>
            </w:r>
          </w:p>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rPr>
                <w:color w:val="000000"/>
                <w:szCs w:val="21"/>
              </w:rPr>
            </w:pPr>
            <w:r>
              <w:rPr>
                <w:color w:val="000000"/>
                <w:szCs w:val="21"/>
              </w:rPr>
              <w:t>巡查了办公室、车间消防设施；各工序人员作业劳保用品使用情况、车间安全标识、各工序设备安全情况、跑冒滴漏情况等。</w:t>
            </w:r>
          </w:p>
          <w:p>
            <w:pPr>
              <w:tabs>
                <w:tab w:val="left" w:pos="426"/>
              </w:tabs>
              <w:spacing w:beforeLines="20" w:afterLines="20" w:line="288" w:lineRule="auto"/>
              <w:ind w:firstLine="420" w:firstLineChars="200"/>
              <w:rPr>
                <w:color w:val="000000"/>
                <w:szCs w:val="21"/>
              </w:rPr>
            </w:pPr>
          </w:p>
          <w:p>
            <w:pPr>
              <w:tabs>
                <w:tab w:val="left" w:pos="426"/>
              </w:tabs>
              <w:spacing w:beforeLines="20" w:afterLines="20" w:line="288" w:lineRule="auto"/>
              <w:ind w:firstLine="420" w:firstLineChars="200"/>
            </w:pPr>
            <w:r>
              <w:rPr>
                <w:rFonts w:hint="eastAsia"/>
                <w:color w:val="000000"/>
                <w:szCs w:val="21"/>
              </w:rPr>
              <w:t>整改符合要求后，具备二阶段审核的条件。</w:t>
            </w:r>
          </w:p>
        </w:tc>
        <w:tc>
          <w:tcPr>
            <w:tcW w:w="993"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bl>
    <w:p>
      <w:pPr>
        <w:pStyle w:val="3"/>
      </w:pPr>
      <w:r>
        <w:rPr>
          <w:rFonts w:hint="eastAsia"/>
        </w:rPr>
        <w:t>说明：不符合标注</w:t>
      </w:r>
      <w:r>
        <w:t>N</w:t>
      </w:r>
    </w:p>
    <w:p>
      <w:pPr>
        <w:pStyle w:val="3"/>
      </w:pPr>
    </w:p>
    <w:p>
      <w:pPr>
        <w:pStyle w:val="3"/>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受审核部门：管理层、行政部、生产部、市场部、质检部、财务部，陪同：汪晓虹</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spacing w:before="120"/>
            </w:pPr>
            <w:r>
              <w:rPr>
                <w:rFonts w:hint="eastAsia"/>
                <w:sz w:val="24"/>
                <w:szCs w:val="24"/>
              </w:rPr>
              <w:t>审核员：伍光华</w:t>
            </w:r>
            <w:r>
              <w:rPr>
                <w:rFonts w:hint="eastAsia"/>
                <w:sz w:val="24"/>
                <w:szCs w:val="24"/>
                <w:lang w:eastAsia="zh-CN"/>
              </w:rPr>
              <w:t>（</w:t>
            </w:r>
            <w:r>
              <w:rPr>
                <w:rFonts w:hint="eastAsia"/>
                <w:sz w:val="24"/>
                <w:szCs w:val="24"/>
                <w:lang w:val="en-US" w:eastAsia="zh-CN"/>
              </w:rPr>
              <w:t>见证人</w:t>
            </w:r>
            <w:r>
              <w:rPr>
                <w:rFonts w:hint="eastAsia"/>
                <w:sz w:val="24"/>
                <w:szCs w:val="24"/>
                <w:lang w:eastAsia="zh-CN"/>
              </w:rPr>
              <w:t>）、</w:t>
            </w:r>
            <w:r>
              <w:rPr>
                <w:rFonts w:hint="eastAsia"/>
                <w:sz w:val="24"/>
                <w:szCs w:val="24"/>
                <w:lang w:val="en-US" w:eastAsia="zh-CN"/>
              </w:rPr>
              <w:t>文波（被见证人）</w:t>
            </w:r>
            <w:r>
              <w:rPr>
                <w:rFonts w:hint="eastAsia"/>
                <w:sz w:val="24"/>
                <w:szCs w:val="24"/>
              </w:rPr>
              <w:t xml:space="preserve">  审核时间：</w:t>
            </w:r>
            <w:r>
              <w:rPr>
                <w:sz w:val="24"/>
                <w:szCs w:val="24"/>
              </w:rPr>
              <w:t xml:space="preserve"> 20</w:t>
            </w:r>
            <w:r>
              <w:rPr>
                <w:rFonts w:hint="eastAsia"/>
                <w:sz w:val="24"/>
                <w:szCs w:val="24"/>
              </w:rPr>
              <w:t>20年4月9日</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rPr>
                <w:sz w:val="24"/>
                <w:szCs w:val="24"/>
              </w:rPr>
            </w:pPr>
            <w:r>
              <w:rPr>
                <w:rFonts w:hint="eastAsia"/>
                <w:sz w:val="24"/>
                <w:szCs w:val="24"/>
              </w:rPr>
              <w:t>审核条款：</w:t>
            </w:r>
            <w:bookmarkStart w:id="0" w:name="_GoBack"/>
            <w:bookmarkEnd w:id="0"/>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spacing w:line="360" w:lineRule="auto"/>
              <w:ind w:firstLine="420" w:firstLineChars="200"/>
              <w:rPr>
                <w:rFonts w:ascii="宋体" w:hAnsi="宋体"/>
                <w:szCs w:val="21"/>
              </w:rPr>
            </w:pPr>
          </w:p>
          <w:p>
            <w:pPr>
              <w:numPr>
                <w:ilvl w:val="0"/>
                <w:numId w:val="1"/>
              </w:numPr>
              <w:adjustRightInd w:val="0"/>
              <w:snapToGrid w:val="0"/>
              <w:spacing w:line="360" w:lineRule="auto"/>
              <w:rPr>
                <w:rFonts w:hint="eastAsia" w:ascii="宋体" w:hAnsi="宋体"/>
                <w:szCs w:val="21"/>
              </w:rPr>
            </w:pPr>
            <w:r>
              <w:rPr>
                <w:rFonts w:hint="eastAsia" w:ascii="宋体" w:hAnsi="宋体"/>
                <w:szCs w:val="21"/>
              </w:rPr>
              <w:t xml:space="preserve">组织法律法规的遵循情况 </w:t>
            </w:r>
          </w:p>
          <w:p>
            <w:pPr>
              <w:adjustRightInd w:val="0"/>
              <w:snapToGrid w:val="0"/>
              <w:spacing w:line="360" w:lineRule="auto"/>
              <w:rPr>
                <w:rFonts w:hint="eastAsia" w:ascii="宋体" w:hAnsi="宋体"/>
                <w:szCs w:val="21"/>
              </w:rPr>
            </w:pPr>
          </w:p>
          <w:p>
            <w:pPr>
              <w:numPr>
                <w:ilvl w:val="0"/>
                <w:numId w:val="1"/>
              </w:numPr>
              <w:adjustRightInd w:val="0"/>
              <w:snapToGrid w:val="0"/>
              <w:spacing w:line="360" w:lineRule="auto"/>
              <w:rPr>
                <w:rFonts w:hint="eastAsia" w:ascii="宋体" w:hAnsi="宋体"/>
                <w:szCs w:val="21"/>
              </w:rPr>
            </w:pPr>
            <w:r>
              <w:rPr>
                <w:rFonts w:hint="eastAsia" w:ascii="宋体" w:hAnsi="宋体"/>
                <w:szCs w:val="21"/>
              </w:rPr>
              <w:t xml:space="preserve">内审和管理评审的实施情况 </w:t>
            </w:r>
          </w:p>
          <w:p>
            <w:pPr>
              <w:pStyle w:val="14"/>
              <w:rPr>
                <w:rFonts w:hint="eastAsia" w:ascii="宋体" w:hAnsi="宋体"/>
                <w:szCs w:val="21"/>
              </w:rPr>
            </w:pPr>
          </w:p>
          <w:p>
            <w:pPr>
              <w:pStyle w:val="14"/>
              <w:rPr>
                <w:rFonts w:hint="eastAsia" w:ascii="宋体" w:hAnsi="宋体"/>
                <w:szCs w:val="21"/>
              </w:rPr>
            </w:pPr>
          </w:p>
          <w:p>
            <w:pPr>
              <w:adjustRightInd w:val="0"/>
              <w:snapToGrid w:val="0"/>
              <w:spacing w:line="360" w:lineRule="auto"/>
              <w:rPr>
                <w:rFonts w:hint="eastAsia" w:ascii="宋体" w:hAnsi="宋体"/>
                <w:szCs w:val="21"/>
              </w:rPr>
            </w:pPr>
          </w:p>
          <w:p>
            <w:pPr>
              <w:numPr>
                <w:ilvl w:val="0"/>
                <w:numId w:val="1"/>
              </w:numPr>
              <w:adjustRightInd w:val="0"/>
              <w:snapToGrid w:val="0"/>
              <w:spacing w:line="360" w:lineRule="auto"/>
              <w:rPr>
                <w:rFonts w:hint="eastAsia" w:ascii="宋体" w:hAnsi="宋体"/>
                <w:szCs w:val="21"/>
              </w:rPr>
            </w:pPr>
            <w:r>
              <w:rPr>
                <w:rFonts w:hint="eastAsia" w:ascii="宋体" w:hAnsi="宋体"/>
                <w:szCs w:val="21"/>
              </w:rPr>
              <w:t xml:space="preserve">管理体系文件审核 </w:t>
            </w: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4）识别二阶段审核的资源配置情况</w:t>
            </w:r>
          </w:p>
          <w:p>
            <w:pPr>
              <w:adjustRightInd w:val="0"/>
              <w:snapToGrid w:val="0"/>
              <w:spacing w:line="360" w:lineRule="auto"/>
              <w:ind w:firstLine="420" w:firstLineChars="200"/>
              <w:rPr>
                <w:rFonts w:hint="eastAsia" w:ascii="宋体" w:hAnsi="宋体"/>
                <w:szCs w:val="21"/>
              </w:rPr>
            </w:pP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r>
              <w:rPr>
                <w:rFonts w:hint="eastAsia" w:ascii="宋体"/>
                <w:szCs w:val="21"/>
              </w:rPr>
              <w:t>现场巡查</w:t>
            </w: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adjustRightInd w:val="0"/>
              <w:snapToGrid w:val="0"/>
              <w:spacing w:line="360" w:lineRule="auto"/>
              <w:ind w:firstLine="420" w:firstLineChars="200"/>
              <w:rPr>
                <w:rFonts w:hint="eastAsia" w:ascii="宋体"/>
                <w:szCs w:val="21"/>
              </w:rPr>
            </w:pPr>
          </w:p>
          <w:p>
            <w:pPr>
              <w:spacing w:line="400" w:lineRule="exact"/>
            </w:pPr>
          </w:p>
        </w:tc>
        <w:tc>
          <w:tcPr>
            <w:tcW w:w="960" w:type="dxa"/>
          </w:tcPr>
          <w:p/>
        </w:tc>
        <w:tc>
          <w:tcPr>
            <w:tcW w:w="10596" w:type="dxa"/>
          </w:tcPr>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rPr>
                <w:rFonts w:hint="eastAsia"/>
                <w:color w:val="000000"/>
                <w:szCs w:val="21"/>
              </w:rPr>
            </w:pPr>
            <w:r>
              <w:rPr>
                <w:rFonts w:hint="eastAsia"/>
                <w:color w:val="000000"/>
                <w:szCs w:val="21"/>
              </w:rPr>
              <w:t>提供了合规性评价综述、合格性评价报告，评价结论：符合法律法规要求。</w:t>
            </w:r>
          </w:p>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rPr>
                <w:color w:val="000000"/>
                <w:szCs w:val="21"/>
              </w:rPr>
            </w:pPr>
          </w:p>
          <w:p>
            <w:pPr>
              <w:tabs>
                <w:tab w:val="left" w:pos="426"/>
              </w:tabs>
              <w:spacing w:beforeLines="20" w:afterLines="20" w:line="288" w:lineRule="auto"/>
              <w:ind w:firstLine="420" w:firstLineChars="200"/>
              <w:rPr>
                <w:color w:val="000000"/>
                <w:szCs w:val="21"/>
              </w:rPr>
            </w:pPr>
            <w:r>
              <w:rPr>
                <w:rFonts w:hint="eastAsia"/>
                <w:color w:val="000000"/>
                <w:szCs w:val="21"/>
              </w:rPr>
              <w:t>公司于</w:t>
            </w:r>
            <w:r>
              <w:rPr>
                <w:color w:val="000000"/>
                <w:szCs w:val="21"/>
              </w:rPr>
              <w:t>20</w:t>
            </w:r>
            <w:r>
              <w:rPr>
                <w:rFonts w:hint="eastAsia"/>
                <w:color w:val="000000"/>
                <w:szCs w:val="21"/>
              </w:rPr>
              <w:t>20</w:t>
            </w:r>
            <w:r>
              <w:rPr>
                <w:color w:val="000000"/>
                <w:szCs w:val="21"/>
              </w:rPr>
              <w:t>.</w:t>
            </w:r>
            <w:r>
              <w:rPr>
                <w:rFonts w:hint="eastAsia"/>
                <w:color w:val="000000"/>
                <w:szCs w:val="21"/>
              </w:rPr>
              <w:t>3</w:t>
            </w:r>
            <w:r>
              <w:rPr>
                <w:color w:val="000000"/>
                <w:szCs w:val="21"/>
              </w:rPr>
              <w:t>.</w:t>
            </w:r>
            <w:r>
              <w:rPr>
                <w:rFonts w:hint="eastAsia"/>
                <w:color w:val="000000"/>
                <w:szCs w:val="21"/>
              </w:rPr>
              <w:t>9</w:t>
            </w:r>
            <w:r>
              <w:rPr>
                <w:color w:val="000000"/>
                <w:szCs w:val="21"/>
              </w:rPr>
              <w:t>-1</w:t>
            </w:r>
            <w:r>
              <w:rPr>
                <w:rFonts w:hint="eastAsia"/>
                <w:color w:val="000000"/>
                <w:szCs w:val="21"/>
              </w:rPr>
              <w:t>0进行一次内审，提供了内审计划、内审记录、不符合报告、内审报告等，具体内容，二阶段进一步审核。</w:t>
            </w:r>
          </w:p>
          <w:p>
            <w:pPr>
              <w:tabs>
                <w:tab w:val="left" w:pos="426"/>
              </w:tabs>
              <w:spacing w:beforeLines="20" w:afterLines="20" w:line="288" w:lineRule="auto"/>
              <w:ind w:firstLine="420" w:firstLineChars="200"/>
              <w:rPr>
                <w:color w:val="000000"/>
                <w:szCs w:val="21"/>
              </w:rPr>
            </w:pPr>
            <w:r>
              <w:rPr>
                <w:color w:val="000000"/>
                <w:szCs w:val="21"/>
              </w:rPr>
              <w:t>20</w:t>
            </w:r>
            <w:r>
              <w:rPr>
                <w:rFonts w:hint="eastAsia"/>
                <w:color w:val="000000"/>
                <w:szCs w:val="21"/>
              </w:rPr>
              <w:t>20</w:t>
            </w:r>
            <w:r>
              <w:rPr>
                <w:color w:val="000000"/>
                <w:szCs w:val="21"/>
              </w:rPr>
              <w:t>.</w:t>
            </w:r>
            <w:r>
              <w:rPr>
                <w:rFonts w:hint="eastAsia"/>
                <w:color w:val="000000"/>
                <w:szCs w:val="21"/>
              </w:rPr>
              <w:t>3</w:t>
            </w:r>
            <w:r>
              <w:rPr>
                <w:color w:val="000000"/>
                <w:szCs w:val="21"/>
              </w:rPr>
              <w:t>.2</w:t>
            </w:r>
            <w:r>
              <w:rPr>
                <w:rFonts w:hint="eastAsia"/>
                <w:color w:val="000000"/>
                <w:szCs w:val="21"/>
              </w:rPr>
              <w:t>0召开了管理评审会议，由总经理主持。提供管理评审报告，具体内容，二阶段进一步审核。</w:t>
            </w:r>
          </w:p>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rPr>
                <w:color w:val="000000"/>
                <w:szCs w:val="21"/>
              </w:rPr>
            </w:pPr>
            <w:r>
              <w:rPr>
                <w:rFonts w:hint="eastAsia"/>
                <w:color w:val="000000"/>
                <w:szCs w:val="21"/>
              </w:rPr>
              <w:t>职业健康安全管理体系于</w:t>
            </w:r>
            <w:r>
              <w:rPr>
                <w:color w:val="000000"/>
                <w:szCs w:val="21"/>
              </w:rPr>
              <w:t>2019-</w:t>
            </w:r>
            <w:r>
              <w:rPr>
                <w:rFonts w:hint="eastAsia"/>
                <w:color w:val="000000"/>
                <w:szCs w:val="21"/>
              </w:rPr>
              <w:t>12</w:t>
            </w:r>
            <w:r>
              <w:rPr>
                <w:color w:val="000000"/>
                <w:szCs w:val="21"/>
              </w:rPr>
              <w:t>-</w:t>
            </w:r>
            <w:r>
              <w:rPr>
                <w:rFonts w:hint="eastAsia"/>
                <w:color w:val="000000"/>
                <w:szCs w:val="21"/>
              </w:rPr>
              <w:t>02建立并正式实施。提供的质量手册、程序文件、作业指导书、记录表单一览表等。</w:t>
            </w:r>
          </w:p>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pPr>
            <w:r>
              <w:rPr>
                <w:rFonts w:hint="eastAsia"/>
                <w:color w:val="000000"/>
                <w:szCs w:val="21"/>
              </w:rPr>
              <w:t>江西顾特乐精藏科技有限公司</w:t>
            </w:r>
            <w:r>
              <w:rPr>
                <w:rFonts w:hint="eastAsia"/>
              </w:rPr>
              <w:t>主要从事骨灰盒存放架（福寿架）的设计、生产；水晶棺、太平柜的销售。</w:t>
            </w:r>
          </w:p>
          <w:p>
            <w:pPr>
              <w:tabs>
                <w:tab w:val="left" w:pos="426"/>
              </w:tabs>
              <w:spacing w:beforeLines="20" w:afterLines="20" w:line="288" w:lineRule="auto"/>
              <w:ind w:firstLine="420" w:firstLineChars="200"/>
            </w:pPr>
            <w:r>
              <w:rPr>
                <w:rFonts w:hint="eastAsia"/>
              </w:rPr>
              <w:t>生产/注册地址：江西省宜春市樟树市张家山工业园十号路东侧</w:t>
            </w:r>
          </w:p>
          <w:p>
            <w:pPr>
              <w:tabs>
                <w:tab w:val="left" w:pos="426"/>
              </w:tabs>
              <w:spacing w:beforeLines="20" w:afterLines="20" w:line="288" w:lineRule="auto"/>
              <w:ind w:firstLine="420" w:firstLineChars="200"/>
            </w:pPr>
            <w:r>
              <w:rPr>
                <w:rFonts w:hint="eastAsia"/>
              </w:rPr>
              <w:t>经营地址：江西省宜春市樟树市共和东路129号</w:t>
            </w:r>
          </w:p>
          <w:p>
            <w:pPr>
              <w:tabs>
                <w:tab w:val="left" w:pos="426"/>
              </w:tabs>
              <w:spacing w:beforeLines="20" w:afterLines="20" w:line="288" w:lineRule="auto"/>
              <w:ind w:firstLine="420" w:firstLineChars="200"/>
              <w:rPr>
                <w:rFonts w:ascii="宋体"/>
                <w:b/>
                <w:bCs/>
                <w:color w:val="000000"/>
                <w:szCs w:val="21"/>
              </w:rPr>
            </w:pPr>
            <w:r>
              <w:t> </w:t>
            </w:r>
            <w:r>
              <w:rPr>
                <w:rFonts w:hint="eastAsia" w:ascii="宋体" w:hAnsi="宋体"/>
                <w:bCs/>
                <w:szCs w:val="21"/>
              </w:rPr>
              <w:t>现场确认范围</w:t>
            </w:r>
          </w:p>
          <w:p>
            <w:pPr>
              <w:tabs>
                <w:tab w:val="left" w:pos="426"/>
              </w:tabs>
              <w:spacing w:beforeLines="20" w:afterLines="20" w:line="288" w:lineRule="auto"/>
              <w:ind w:firstLine="420" w:firstLineChars="200"/>
              <w:rPr>
                <w:rFonts w:ascii="宋体" w:hAnsi="宋体"/>
                <w:szCs w:val="21"/>
              </w:rPr>
            </w:pPr>
            <w:r>
              <w:rPr>
                <w:rFonts w:hint="eastAsia" w:ascii="宋体" w:hAnsi="宋体"/>
                <w:szCs w:val="21"/>
              </w:rPr>
              <w:t>O：</w:t>
            </w:r>
            <w:r>
              <w:rPr>
                <w:rFonts w:hint="eastAsia"/>
              </w:rPr>
              <w:t>骨灰盒存放架（福寿架）的设计、生产；水晶棺、太平柜的销售及其所涉及的职业健康安全管理活动</w:t>
            </w:r>
          </w:p>
          <w:p>
            <w:pPr>
              <w:tabs>
                <w:tab w:val="left" w:pos="426"/>
              </w:tabs>
              <w:spacing w:beforeLines="20" w:afterLines="20" w:line="288" w:lineRule="auto"/>
              <w:ind w:firstLine="420" w:firstLineChars="200"/>
              <w:rPr>
                <w:color w:val="000000"/>
                <w:szCs w:val="21"/>
              </w:rPr>
            </w:pPr>
            <w:r>
              <w:rPr>
                <w:rFonts w:hint="eastAsia"/>
                <w:color w:val="000000"/>
                <w:szCs w:val="21"/>
              </w:rPr>
              <w:t>无不适用条款：</w:t>
            </w:r>
          </w:p>
          <w:p>
            <w:pPr>
              <w:tabs>
                <w:tab w:val="left" w:pos="426"/>
              </w:tabs>
              <w:spacing w:beforeLines="20" w:afterLines="20" w:line="288" w:lineRule="auto"/>
              <w:ind w:firstLine="420" w:firstLineChars="200"/>
              <w:rPr>
                <w:rFonts w:hint="eastAsia"/>
                <w:color w:val="000000"/>
                <w:szCs w:val="21"/>
              </w:rPr>
            </w:pPr>
            <w:r>
              <w:rPr>
                <w:rFonts w:hint="eastAsia"/>
                <w:color w:val="000000"/>
                <w:szCs w:val="21"/>
              </w:rPr>
              <w:t>提供了营业执照，经营范围涵盖了</w:t>
            </w:r>
            <w:r>
              <w:rPr>
                <w:rFonts w:hint="eastAsia"/>
              </w:rPr>
              <w:t>骨灰盒存放架（福寿架）的设计、生产；水晶棺、太平柜的销售。企业法人/总经理：汪长虹；注册资本：5099万元人民币；</w:t>
            </w:r>
            <w:r>
              <w:rPr>
                <w:rFonts w:hint="eastAsia"/>
                <w:color w:val="000000"/>
                <w:szCs w:val="21"/>
              </w:rPr>
              <w:t xml:space="preserve"> </w:t>
            </w:r>
          </w:p>
          <w:p>
            <w:pPr>
              <w:tabs>
                <w:tab w:val="left" w:pos="426"/>
              </w:tabs>
              <w:spacing w:beforeLines="20" w:afterLines="20" w:line="288" w:lineRule="auto"/>
              <w:ind w:firstLine="420" w:firstLineChars="200"/>
              <w:rPr>
                <w:color w:val="000000"/>
                <w:szCs w:val="21"/>
              </w:rPr>
            </w:pPr>
            <w:r>
              <w:rPr>
                <w:rFonts w:hint="eastAsia"/>
                <w:color w:val="000000"/>
                <w:szCs w:val="21"/>
              </w:rPr>
              <w:t>组织机构：行政部、生产部、市场部、质检部、财务部。</w:t>
            </w:r>
          </w:p>
          <w:p>
            <w:pPr>
              <w:tabs>
                <w:tab w:val="left" w:pos="426"/>
              </w:tabs>
              <w:spacing w:beforeLines="20" w:afterLines="20" w:line="288" w:lineRule="auto"/>
              <w:ind w:firstLine="420" w:firstLineChars="200"/>
              <w:rPr>
                <w:color w:val="000000"/>
                <w:szCs w:val="21"/>
              </w:rPr>
            </w:pPr>
            <w:r>
              <w:rPr>
                <w:rFonts w:hint="eastAsia"/>
                <w:color w:val="000000"/>
                <w:szCs w:val="21"/>
              </w:rPr>
              <w:t>提供了设备清单；有使用特种设备：起重机、叉车，储气罐，二阶段重点审核相关特种作业年检记录，特种作业操作资格证；相关设备维护保养记录。</w:t>
            </w:r>
          </w:p>
          <w:p>
            <w:pPr>
              <w:tabs>
                <w:tab w:val="left" w:pos="426"/>
              </w:tabs>
              <w:spacing w:beforeLines="20" w:afterLines="20" w:line="288" w:lineRule="auto"/>
              <w:ind w:firstLine="420" w:firstLineChars="200"/>
              <w:rPr>
                <w:color w:val="000000"/>
                <w:szCs w:val="21"/>
              </w:rPr>
            </w:pPr>
            <w:r>
              <w:rPr>
                <w:rFonts w:hint="eastAsia"/>
                <w:color w:val="000000"/>
                <w:szCs w:val="21"/>
              </w:rPr>
              <w:t>相关工艺流程如下：</w:t>
            </w:r>
          </w:p>
          <w:p>
            <w:pPr>
              <w:tabs>
                <w:tab w:val="left" w:pos="426"/>
              </w:tabs>
              <w:spacing w:beforeLines="20" w:afterLines="20" w:line="288" w:lineRule="auto"/>
              <w:ind w:firstLine="420" w:firstLineChars="200"/>
              <w:rPr>
                <w:color w:val="000000"/>
                <w:szCs w:val="21"/>
              </w:rPr>
            </w:pPr>
            <w:r>
              <w:rPr>
                <w:rFonts w:hint="eastAsia"/>
                <w:color w:val="000000"/>
                <w:szCs w:val="21"/>
              </w:rPr>
              <w:t>1、骨灰盒存放架</w:t>
            </w:r>
            <w:r>
              <w:rPr>
                <w:rFonts w:hint="eastAsia"/>
              </w:rPr>
              <w:t>（福寿架）</w:t>
            </w:r>
            <w:r>
              <w:rPr>
                <w:rFonts w:hint="eastAsia"/>
                <w:color w:val="000000"/>
                <w:szCs w:val="21"/>
              </w:rPr>
              <w:t>生产工艺流程：</w:t>
            </w:r>
          </w:p>
          <w:p>
            <w:pPr>
              <w:tabs>
                <w:tab w:val="left" w:pos="426"/>
              </w:tabs>
              <w:spacing w:beforeLines="20" w:afterLines="20" w:line="288" w:lineRule="auto"/>
              <w:ind w:firstLine="420" w:firstLineChars="200"/>
              <w:rPr>
                <w:color w:val="000000"/>
                <w:szCs w:val="21"/>
              </w:rPr>
            </w:pPr>
            <w:r>
              <w:rPr>
                <w:rFonts w:hint="eastAsia"/>
                <w:color w:val="000000"/>
                <w:szCs w:val="21"/>
              </w:rPr>
              <w:t xml:space="preserve">剪板下料→打孔作业→冲压过程→折弯过程→焊接作业→表面预处理→喷塑、固化过程→组装作业→检验入库 </w:t>
            </w:r>
          </w:p>
          <w:p>
            <w:pPr>
              <w:tabs>
                <w:tab w:val="left" w:pos="426"/>
              </w:tabs>
              <w:spacing w:beforeLines="20" w:afterLines="20" w:line="288" w:lineRule="auto"/>
              <w:ind w:firstLine="420" w:firstLineChars="200"/>
              <w:rPr>
                <w:color w:val="000000"/>
                <w:szCs w:val="21"/>
              </w:rPr>
            </w:pPr>
            <w:r>
              <w:rPr>
                <w:rFonts w:hint="eastAsia"/>
                <w:color w:val="000000"/>
                <w:szCs w:val="21"/>
              </w:rPr>
              <w:t>2、产品（水晶棺、太平柜）销售流程：</w:t>
            </w:r>
          </w:p>
          <w:p>
            <w:pPr>
              <w:tabs>
                <w:tab w:val="left" w:pos="426"/>
              </w:tabs>
              <w:spacing w:beforeLines="20" w:afterLines="20" w:line="288" w:lineRule="auto"/>
              <w:ind w:firstLine="420" w:firstLineChars="200"/>
              <w:rPr>
                <w:color w:val="000000"/>
                <w:szCs w:val="21"/>
              </w:rPr>
            </w:pPr>
            <w:r>
              <w:rPr>
                <w:rFonts w:hint="eastAsia"/>
                <w:color w:val="000000"/>
                <w:szCs w:val="21"/>
              </w:rPr>
              <w:t>产品要求信息获取→产品要求评审→签订合同→采购→质检→销售</w:t>
            </w:r>
          </w:p>
          <w:p>
            <w:pPr>
              <w:tabs>
                <w:tab w:val="left" w:pos="426"/>
              </w:tabs>
              <w:spacing w:beforeLines="20" w:afterLines="20" w:line="288" w:lineRule="auto"/>
              <w:ind w:firstLine="420" w:firstLineChars="200"/>
              <w:rPr>
                <w:color w:val="000000"/>
                <w:szCs w:val="21"/>
              </w:rPr>
            </w:pPr>
            <w:r>
              <w:rPr>
                <w:color w:val="000000"/>
                <w:szCs w:val="21"/>
              </w:rPr>
              <w:t>巡查了办公室、车间消防设施；各工序人员作业劳保用品使用情况、车间安全标识、各工序设备安全情况、跑冒滴漏情况等。</w:t>
            </w:r>
          </w:p>
          <w:p>
            <w:pPr>
              <w:tabs>
                <w:tab w:val="left" w:pos="426"/>
              </w:tabs>
              <w:spacing w:beforeLines="20" w:afterLines="20" w:line="288" w:lineRule="auto"/>
              <w:ind w:firstLine="420" w:firstLineChars="200"/>
              <w:rPr>
                <w:rFonts w:hint="eastAsia"/>
                <w:color w:val="000000"/>
                <w:szCs w:val="21"/>
              </w:rPr>
            </w:pPr>
          </w:p>
          <w:p>
            <w:pPr>
              <w:tabs>
                <w:tab w:val="left" w:pos="426"/>
              </w:tabs>
              <w:spacing w:beforeLines="20" w:afterLines="20" w:line="288" w:lineRule="auto"/>
              <w:ind w:firstLine="420" w:firstLineChars="200"/>
              <w:rPr>
                <w:color w:val="000000"/>
                <w:szCs w:val="21"/>
              </w:rPr>
            </w:pPr>
            <w:r>
              <w:rPr>
                <w:rFonts w:hint="eastAsia"/>
                <w:color w:val="000000"/>
                <w:szCs w:val="21"/>
              </w:rPr>
              <w:t>具备二阶段审核的条件，确认二阶段重点审核情况。</w:t>
            </w:r>
          </w:p>
          <w:p>
            <w:pPr>
              <w:spacing w:beforeLines="20" w:afterLines="20" w:line="288" w:lineRule="auto"/>
              <w:ind w:firstLine="200"/>
            </w:pPr>
          </w:p>
        </w:tc>
        <w:tc>
          <w:tcPr>
            <w:tcW w:w="993" w:type="dxa"/>
          </w:tcPr>
          <w:p/>
        </w:tc>
      </w:tr>
    </w:tbl>
    <w:p/>
    <w:p>
      <w:pPr>
        <w:pStyle w:val="3"/>
      </w:pPr>
      <w:r>
        <w:rPr>
          <w:rFonts w:hint="eastAsia"/>
        </w:rPr>
        <w:t>说明：不符合标注</w:t>
      </w:r>
      <w:r>
        <w:t>N</w:t>
      </w:r>
    </w:p>
    <w:p>
      <w:pPr>
        <w:pStyle w:val="3"/>
      </w:pP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554.75pt;margin-top:2.2pt;height:20.2pt;width:172pt;z-index:251657216;mso-width-relative:page;mso-height-relative:page;" stroked="f" coordsize="21600,21600">
          <v:path/>
          <v:fill focussize="0,0"/>
          <v:stroke on="f" joinstyle="miter"/>
          <v:imagedata o:title=""/>
          <o:lock v:ext="edit"/>
          <v:textbox>
            <w:txbxContent>
              <w:p>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0C8"/>
    <w:multiLevelType w:val="multilevel"/>
    <w:tmpl w:val="0B3640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A0A55"/>
    <w:rsid w:val="000154C8"/>
    <w:rsid w:val="00023D11"/>
    <w:rsid w:val="0003373A"/>
    <w:rsid w:val="000430AD"/>
    <w:rsid w:val="000806AB"/>
    <w:rsid w:val="00084AFE"/>
    <w:rsid w:val="0008763D"/>
    <w:rsid w:val="000A21D2"/>
    <w:rsid w:val="000B51BD"/>
    <w:rsid w:val="000D4CD5"/>
    <w:rsid w:val="000E7E79"/>
    <w:rsid w:val="000F77B0"/>
    <w:rsid w:val="00127554"/>
    <w:rsid w:val="00135DC3"/>
    <w:rsid w:val="0015111B"/>
    <w:rsid w:val="00184DF0"/>
    <w:rsid w:val="001A4364"/>
    <w:rsid w:val="001D3141"/>
    <w:rsid w:val="001D6332"/>
    <w:rsid w:val="00244053"/>
    <w:rsid w:val="00283D22"/>
    <w:rsid w:val="002961F0"/>
    <w:rsid w:val="002B18AC"/>
    <w:rsid w:val="002B26BB"/>
    <w:rsid w:val="002B7EEE"/>
    <w:rsid w:val="002F017C"/>
    <w:rsid w:val="00315C8A"/>
    <w:rsid w:val="00332D97"/>
    <w:rsid w:val="00390345"/>
    <w:rsid w:val="003B4D0F"/>
    <w:rsid w:val="003C3DEE"/>
    <w:rsid w:val="003C7EB2"/>
    <w:rsid w:val="003F3867"/>
    <w:rsid w:val="00407E5C"/>
    <w:rsid w:val="00420186"/>
    <w:rsid w:val="004211BA"/>
    <w:rsid w:val="004238BA"/>
    <w:rsid w:val="00474273"/>
    <w:rsid w:val="00495D3A"/>
    <w:rsid w:val="004978F4"/>
    <w:rsid w:val="004C6BDB"/>
    <w:rsid w:val="004D335D"/>
    <w:rsid w:val="004E08FA"/>
    <w:rsid w:val="004E2167"/>
    <w:rsid w:val="004F0E5B"/>
    <w:rsid w:val="005275D5"/>
    <w:rsid w:val="00536992"/>
    <w:rsid w:val="00554C63"/>
    <w:rsid w:val="00560705"/>
    <w:rsid w:val="00571BF6"/>
    <w:rsid w:val="0057467B"/>
    <w:rsid w:val="00580E0D"/>
    <w:rsid w:val="005A0A55"/>
    <w:rsid w:val="005B4A20"/>
    <w:rsid w:val="00610CCF"/>
    <w:rsid w:val="00652A28"/>
    <w:rsid w:val="006E42FB"/>
    <w:rsid w:val="006F19E0"/>
    <w:rsid w:val="00737EFD"/>
    <w:rsid w:val="00755359"/>
    <w:rsid w:val="00766787"/>
    <w:rsid w:val="007757F3"/>
    <w:rsid w:val="00787691"/>
    <w:rsid w:val="007D78AF"/>
    <w:rsid w:val="007D7CED"/>
    <w:rsid w:val="007F4540"/>
    <w:rsid w:val="00805DAC"/>
    <w:rsid w:val="00824194"/>
    <w:rsid w:val="0085165F"/>
    <w:rsid w:val="00871C15"/>
    <w:rsid w:val="008766EC"/>
    <w:rsid w:val="008973EE"/>
    <w:rsid w:val="008A7C30"/>
    <w:rsid w:val="009158BC"/>
    <w:rsid w:val="009279A0"/>
    <w:rsid w:val="00951B02"/>
    <w:rsid w:val="009570B1"/>
    <w:rsid w:val="00971385"/>
    <w:rsid w:val="009B7A35"/>
    <w:rsid w:val="009D7E58"/>
    <w:rsid w:val="00A56783"/>
    <w:rsid w:val="00AB550B"/>
    <w:rsid w:val="00B1761E"/>
    <w:rsid w:val="00B429BB"/>
    <w:rsid w:val="00B64E41"/>
    <w:rsid w:val="00B65520"/>
    <w:rsid w:val="00BB1088"/>
    <w:rsid w:val="00BB2934"/>
    <w:rsid w:val="00BC3D48"/>
    <w:rsid w:val="00C10090"/>
    <w:rsid w:val="00C22F34"/>
    <w:rsid w:val="00C27293"/>
    <w:rsid w:val="00C74D5C"/>
    <w:rsid w:val="00C819D2"/>
    <w:rsid w:val="00C841D9"/>
    <w:rsid w:val="00C856EF"/>
    <w:rsid w:val="00C9796D"/>
    <w:rsid w:val="00CA303E"/>
    <w:rsid w:val="00CF14B8"/>
    <w:rsid w:val="00D17AA6"/>
    <w:rsid w:val="00D23F98"/>
    <w:rsid w:val="00D711A6"/>
    <w:rsid w:val="00DC78FD"/>
    <w:rsid w:val="00DD3069"/>
    <w:rsid w:val="00E14D74"/>
    <w:rsid w:val="00E42E03"/>
    <w:rsid w:val="00E4362C"/>
    <w:rsid w:val="00E657F6"/>
    <w:rsid w:val="00E6620C"/>
    <w:rsid w:val="00E74D46"/>
    <w:rsid w:val="00EB7C12"/>
    <w:rsid w:val="00ED6F28"/>
    <w:rsid w:val="4A934C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Strong"/>
    <w:qFormat/>
    <w:locked/>
    <w:uiPriority w:val="99"/>
    <w:rPr>
      <w:rFonts w:cs="Times New Roman"/>
      <w:b/>
    </w:r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locked/>
    <w:uiPriority w:val="99"/>
    <w:rPr>
      <w:rFonts w:ascii="Times New Roman" w:hAnsi="Times New Roman" w:eastAsia="宋体" w:cs="Times New Roman"/>
      <w:sz w:val="18"/>
      <w:szCs w:val="18"/>
    </w:rPr>
  </w:style>
  <w:style w:type="character" w:customStyle="1" w:styleId="10">
    <w:name w:val="页眉 Char"/>
    <w:link w:val="4"/>
    <w:locked/>
    <w:uiPriority w:val="99"/>
    <w:rPr>
      <w:rFonts w:ascii="Times New Roman" w:hAnsi="Times New Roman" w:eastAsia="宋体" w:cs="Times New Roman"/>
      <w:sz w:val="18"/>
      <w:szCs w:val="18"/>
    </w:rPr>
  </w:style>
  <w:style w:type="character" w:customStyle="1" w:styleId="11">
    <w:name w:val="Char Char1"/>
    <w:locked/>
    <w:uiPriority w:val="99"/>
    <w:rPr>
      <w:rFonts w:ascii="宋体" w:hAnsi="Courier New" w:eastAsia="宋体"/>
      <w:kern w:val="2"/>
      <w:sz w:val="21"/>
      <w:lang w:val="en-US" w:eastAsia="zh-CN"/>
    </w:rPr>
  </w:style>
  <w:style w:type="character" w:customStyle="1" w:styleId="12">
    <w:name w:val="Char Char"/>
    <w:locked/>
    <w:uiPriority w:val="99"/>
    <w:rPr>
      <w:rFonts w:eastAsia="宋体" w:cs="Times New Roman"/>
      <w:kern w:val="2"/>
      <w:sz w:val="18"/>
      <w:szCs w:val="18"/>
      <w:lang w:val="en-US" w:eastAsia="zh-CN" w:bidi="ar-SA"/>
    </w:rPr>
  </w:style>
  <w:style w:type="paragraph" w:customStyle="1" w:styleId="13">
    <w:name w:val="表格文字"/>
    <w:basedOn w:val="1"/>
    <w:uiPriority w:val="99"/>
    <w:pPr>
      <w:spacing w:before="25" w:after="25"/>
    </w:pPr>
    <w:rPr>
      <w:bCs/>
      <w:spacing w:val="1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Words>
  <Characters>1467</Characters>
  <Lines>12</Lines>
  <Paragraphs>3</Paragraphs>
  <TotalTime>1</TotalTime>
  <ScaleCrop>false</ScaleCrop>
  <LinksUpToDate>false</LinksUpToDate>
  <CharactersWithSpaces>1721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小小</cp:lastModifiedBy>
  <dcterms:modified xsi:type="dcterms:W3CDTF">2020-04-13T10:04:18Z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