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30644-2023-QEO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青岛海之冠汽车配件制造有限公司/山东海之冠工贸有限公司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E:18.03.00,22.03.02</w:t>
            </w:r>
          </w:p>
          <w:p w:rsidR="00A824E9">
            <w:pPr>
              <w:spacing w:line="360" w:lineRule="exact"/>
              <w:jc w:val="center"/>
              <w:rPr>
                <w:b/>
                <w:szCs w:val="21"/>
              </w:rPr>
            </w:pPr>
            <w:r>
              <w:rPr>
                <w:b/>
                <w:szCs w:val="21"/>
              </w:rPr>
              <w:t>O:18.03.00,22.03.02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E:18.03.00,22.03.02</w:t>
            </w:r>
          </w:p>
          <w:p w:rsidR="00A824E9">
            <w:pPr>
              <w:spacing w:line="360" w:lineRule="exact"/>
              <w:jc w:val="center"/>
              <w:rPr>
                <w:b/>
                <w:szCs w:val="21"/>
              </w:rPr>
            </w:pPr>
            <w:r>
              <w:rPr>
                <w:b/>
                <w:szCs w:val="21"/>
              </w:rPr>
              <w:t>O:18.03.00,22.03.02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2023年10月09日 下午至2023年10月11日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山东省青岛市黄岛区临港经济开发区临港一路588号/山东省青岛市黄岛区隐珠山路（原长春路北段）</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山东省青岛市黄岛区临港经济开发区隐珠山路1368号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