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0652-2022-Q-2023</w:t>
      </w:r>
      <w:bookmarkEnd w:id="0"/>
    </w:p>
    <w:p>
      <w:pPr>
        <w:spacing w:line="360"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监 督 审 核 ）</w:t>
      </w:r>
    </w:p>
    <w:p>
      <w:pPr>
        <w:jc w:val="left"/>
        <w:rPr>
          <w:sz w:val="32"/>
          <w:szCs w:val="32"/>
          <w:u w:val="single"/>
        </w:rPr>
      </w:pPr>
    </w:p>
    <w:p>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巨野兆迅复合材料有限公司</w:t>
      </w:r>
      <w:bookmarkEnd w:id="1"/>
    </w:p>
    <w:p>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121" w:leftChars="1486" w:firstLine="138" w:firstLineChars="60"/>
        <w:rPr>
          <w:u w:val="single"/>
        </w:rPr>
      </w:pPr>
      <w:r>
        <w:rPr>
          <w:rFonts w:hint="eastAsia"/>
          <w:color w:val="000000"/>
        </w:rPr>
        <w:t>□其他</w:t>
      </w:r>
      <w:r>
        <w:rPr>
          <w:rFonts w:hint="eastAsia"/>
          <w:color w:val="000000"/>
          <w:u w:val="single"/>
        </w:rPr>
        <w:t xml:space="preserve"> </w:t>
      </w:r>
      <w:r>
        <w:rPr>
          <w:color w:val="000000"/>
          <w:u w:val="single"/>
        </w:rPr>
        <w:t xml:space="preserve">                       </w:t>
      </w:r>
    </w:p>
    <w:p>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姜海军</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spacing w:line="360" w:lineRule="exact"/>
        <w:jc w:val="center"/>
        <w:rPr>
          <w:b/>
          <w:sz w:val="28"/>
          <w:szCs w:val="28"/>
        </w:rPr>
      </w:pPr>
      <w:r>
        <w:rPr>
          <w:rFonts w:hint="eastAsia"/>
          <w:b/>
          <w:sz w:val="28"/>
          <w:szCs w:val="28"/>
        </w:rPr>
        <w:t>审核报告说明</w:t>
      </w:r>
    </w:p>
    <w:p>
      <w:pPr>
        <w:spacing w:line="380" w:lineRule="exac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管理体系审核计划（通知）书        </w:t>
      </w:r>
      <w:r>
        <w:rPr>
          <w:rFonts w:ascii="Wingdings 2" w:hAnsi="Wingdings 2"/>
          <w:szCs w:val="21"/>
        </w:rPr>
        <w:sym w:font="Wingdings 2" w:char="F0A2"/>
      </w:r>
      <w:r>
        <w:rPr>
          <w:rFonts w:hint="eastAsia"/>
          <w:szCs w:val="21"/>
        </w:rPr>
        <w:t xml:space="preserve"> 首末次会议签到表</w:t>
      </w:r>
    </w:p>
    <w:p>
      <w:pPr>
        <w:spacing w:line="380" w:lineRule="exact"/>
        <w:ind w:firstLine="420" w:firstLineChars="200"/>
        <w:rPr>
          <w:szCs w:val="21"/>
        </w:rPr>
      </w:pPr>
      <w:r>
        <w:rPr>
          <w:rFonts w:ascii="Wingdings 2" w:hAnsi="Wingdings 2"/>
          <w:szCs w:val="21"/>
        </w:rPr>
        <w:sym w:font="Wingdings 2" w:char="F0A2"/>
      </w:r>
      <w:r>
        <w:rPr>
          <w:rFonts w:hint="eastAsia"/>
          <w:szCs w:val="21"/>
        </w:rPr>
        <w:t xml:space="preserve"> 不符合项报告                      </w:t>
      </w:r>
      <w:r>
        <w:rPr>
          <w:rFonts w:hint="eastAsia" w:ascii="宋体" w:hAnsi="宋体"/>
          <w:szCs w:val="21"/>
        </w:rPr>
        <w:t xml:space="preserve">□ </w:t>
      </w:r>
      <w:r>
        <w:rPr>
          <w:rFonts w:hint="eastAsia"/>
          <w:szCs w:val="21"/>
        </w:rPr>
        <w:t>其他</w:t>
      </w:r>
    </w:p>
    <w:p>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rPr>
          <w:szCs w:val="21"/>
        </w:rPr>
      </w:pP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pStyle w:val="2"/>
        <w:spacing w:line="380" w:lineRule="exact"/>
      </w:pPr>
    </w:p>
    <w:p>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pPr>
        <w:spacing w:line="380" w:lineRule="exact"/>
        <w:ind w:firstLine="5040" w:firstLineChars="2400"/>
        <w:rPr>
          <w:szCs w:val="21"/>
        </w:rPr>
      </w:pPr>
      <w:r>
        <w:rPr>
          <w:rFonts w:hint="eastAsia"/>
          <w:szCs w:val="21"/>
        </w:rPr>
        <w:t xml:space="preserve">承诺人   审核组长：       </w:t>
      </w:r>
    </w:p>
    <w:p>
      <w:pPr>
        <w:spacing w:line="380" w:lineRule="exact"/>
        <w:ind w:firstLine="6405" w:firstLineChars="3050"/>
        <w:rPr>
          <w:szCs w:val="21"/>
        </w:rPr>
      </w:pPr>
      <w:r>
        <w:rPr>
          <w:rFonts w:hint="eastAsia"/>
          <w:szCs w:val="21"/>
        </w:rPr>
        <w:t>组员：</w:t>
      </w:r>
    </w:p>
    <w:p>
      <w:pPr>
        <w:pStyle w:val="2"/>
        <w:jc w:val="center"/>
      </w:pPr>
    </w:p>
    <w:p>
      <w:pPr>
        <w:pStyle w:val="2"/>
        <w:jc w:val="center"/>
      </w:pPr>
    </w:p>
    <w:p>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r>
              <w:rPr>
                <w:rFonts w:hint="eastAsia"/>
                <w:b/>
                <w:szCs w:val="21"/>
              </w:rPr>
              <w:t>序号</w:t>
            </w:r>
          </w:p>
        </w:tc>
        <w:tc>
          <w:tcPr>
            <w:tcW w:w="1247" w:type="dxa"/>
            <w:vAlign w:val="center"/>
          </w:tcPr>
          <w:p>
            <w:pPr>
              <w:spacing w:line="360" w:lineRule="auto"/>
              <w:jc w:val="center"/>
              <w:rPr>
                <w:b/>
                <w:szCs w:val="21"/>
              </w:rPr>
            </w:pPr>
            <w:r>
              <w:rPr>
                <w:rFonts w:hint="eastAsia"/>
                <w:b/>
                <w:szCs w:val="21"/>
              </w:rPr>
              <w:t>姓名</w:t>
            </w:r>
          </w:p>
        </w:tc>
        <w:tc>
          <w:tcPr>
            <w:tcW w:w="1051" w:type="dxa"/>
            <w:vAlign w:val="center"/>
          </w:tcPr>
          <w:p>
            <w:pPr>
              <w:spacing w:line="360" w:lineRule="auto"/>
              <w:jc w:val="center"/>
              <w:rPr>
                <w:b/>
                <w:szCs w:val="21"/>
              </w:rPr>
            </w:pPr>
            <w:r>
              <w:rPr>
                <w:rFonts w:hint="eastAsia"/>
                <w:b/>
                <w:szCs w:val="21"/>
              </w:rPr>
              <w:t>组内职务</w:t>
            </w:r>
          </w:p>
        </w:tc>
        <w:tc>
          <w:tcPr>
            <w:tcW w:w="1466" w:type="dxa"/>
            <w:vAlign w:val="center"/>
          </w:tcPr>
          <w:p>
            <w:pPr>
              <w:spacing w:line="360" w:lineRule="auto"/>
              <w:jc w:val="center"/>
              <w:rPr>
                <w:b/>
                <w:szCs w:val="21"/>
              </w:rPr>
            </w:pPr>
            <w:r>
              <w:rPr>
                <w:rFonts w:hint="eastAsia"/>
                <w:b/>
                <w:szCs w:val="21"/>
              </w:rPr>
              <w:t>注册级别</w:t>
            </w:r>
          </w:p>
        </w:tc>
        <w:tc>
          <w:tcPr>
            <w:tcW w:w="2268" w:type="dxa"/>
            <w:vAlign w:val="center"/>
          </w:tcPr>
          <w:p>
            <w:pPr>
              <w:spacing w:line="360" w:lineRule="auto"/>
              <w:jc w:val="center"/>
              <w:rPr>
                <w:b/>
                <w:szCs w:val="21"/>
              </w:rPr>
            </w:pPr>
            <w:r>
              <w:rPr>
                <w:rFonts w:hint="eastAsia"/>
                <w:b/>
                <w:szCs w:val="21"/>
              </w:rPr>
              <w:t>审核员注册证书号</w:t>
            </w:r>
          </w:p>
        </w:tc>
        <w:tc>
          <w:tcPr>
            <w:tcW w:w="3145" w:type="dxa"/>
            <w:vAlign w:val="center"/>
          </w:tcPr>
          <w:p>
            <w:pPr>
              <w:spacing w:line="360" w:lineRule="auto"/>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auto"/>
              <w:jc w:val="center"/>
              <w:rPr>
                <w:b/>
                <w:szCs w:val="21"/>
              </w:rPr>
            </w:pPr>
          </w:p>
        </w:tc>
        <w:tc>
          <w:tcPr>
            <w:tcW w:w="1247" w:type="dxa"/>
            <w:vAlign w:val="center"/>
          </w:tcPr>
          <w:p>
            <w:pPr>
              <w:spacing w:line="360" w:lineRule="auto"/>
              <w:jc w:val="center"/>
              <w:rPr>
                <w:b/>
                <w:szCs w:val="21"/>
              </w:rPr>
            </w:pPr>
            <w:r>
              <w:rPr>
                <w:b/>
                <w:szCs w:val="21"/>
              </w:rPr>
              <w:t>姜海军</w:t>
            </w:r>
          </w:p>
        </w:tc>
        <w:tc>
          <w:tcPr>
            <w:tcW w:w="1051" w:type="dxa"/>
            <w:vAlign w:val="center"/>
          </w:tcPr>
          <w:p>
            <w:pPr>
              <w:spacing w:line="360" w:lineRule="auto"/>
              <w:jc w:val="center"/>
              <w:rPr>
                <w:b/>
                <w:szCs w:val="21"/>
              </w:rPr>
            </w:pPr>
            <w:r>
              <w:rPr>
                <w:b/>
                <w:szCs w:val="21"/>
              </w:rPr>
              <w:t>组长</w:t>
            </w:r>
          </w:p>
        </w:tc>
        <w:tc>
          <w:tcPr>
            <w:tcW w:w="1466" w:type="dxa"/>
            <w:vAlign w:val="center"/>
          </w:tcPr>
          <w:p>
            <w:pPr>
              <w:spacing w:line="360" w:lineRule="auto"/>
              <w:jc w:val="center"/>
              <w:rPr>
                <w:b/>
                <w:szCs w:val="21"/>
              </w:rPr>
            </w:pPr>
            <w:r>
              <w:rPr>
                <w:b/>
                <w:szCs w:val="21"/>
              </w:rPr>
              <w:t>审核员</w:t>
            </w:r>
          </w:p>
        </w:tc>
        <w:tc>
          <w:tcPr>
            <w:tcW w:w="2268" w:type="dxa"/>
            <w:vAlign w:val="center"/>
          </w:tcPr>
          <w:p>
            <w:pPr>
              <w:spacing w:line="360" w:lineRule="auto"/>
              <w:jc w:val="center"/>
              <w:rPr>
                <w:b/>
                <w:szCs w:val="21"/>
              </w:rPr>
            </w:pPr>
            <w:r>
              <w:rPr>
                <w:b/>
                <w:szCs w:val="21"/>
              </w:rPr>
              <w:t>2022-N1QMS-4073544</w:t>
            </w:r>
          </w:p>
        </w:tc>
        <w:tc>
          <w:tcPr>
            <w:tcW w:w="3145" w:type="dxa"/>
            <w:vAlign w:val="center"/>
          </w:tcPr>
          <w:p>
            <w:pPr>
              <w:spacing w:line="360" w:lineRule="auto"/>
              <w:jc w:val="center"/>
              <w:rPr>
                <w:b/>
                <w:szCs w:val="21"/>
              </w:rPr>
            </w:pPr>
            <w:r>
              <w:rPr>
                <w:b/>
                <w:szCs w:val="21"/>
              </w:rPr>
              <w:t>14.02.04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rPr>
                <w:szCs w:val="21"/>
              </w:rPr>
            </w:pPr>
          </w:p>
        </w:tc>
        <w:tc>
          <w:tcPr>
            <w:tcW w:w="1466" w:type="dxa"/>
            <w:vAlign w:val="center"/>
          </w:tcPr>
          <w:p>
            <w:pPr>
              <w:spacing w:line="360" w:lineRule="auto"/>
              <w:jc w:val="center"/>
              <w:rPr>
                <w:szCs w:val="21"/>
              </w:rPr>
            </w:pPr>
          </w:p>
        </w:tc>
        <w:tc>
          <w:tcPr>
            <w:tcW w:w="2268" w:type="dxa"/>
            <w:vAlign w:val="center"/>
          </w:tcPr>
          <w:p>
            <w:pPr>
              <w:spacing w:line="360" w:lineRule="auto"/>
              <w:jc w:val="center"/>
              <w:rPr>
                <w:szCs w:val="21"/>
              </w:rPr>
            </w:pPr>
          </w:p>
        </w:tc>
        <w:tc>
          <w:tcPr>
            <w:tcW w:w="3145" w:type="dxa"/>
            <w:vAlign w:val="center"/>
          </w:tcPr>
          <w:p>
            <w:pPr>
              <w:spacing w:line="360" w:lineRule="auto"/>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auto"/>
              <w:jc w:val="center"/>
              <w:rPr>
                <w:szCs w:val="21"/>
              </w:rPr>
            </w:pPr>
          </w:p>
        </w:tc>
        <w:tc>
          <w:tcPr>
            <w:tcW w:w="1247" w:type="dxa"/>
            <w:vAlign w:val="center"/>
          </w:tcPr>
          <w:p>
            <w:pPr>
              <w:spacing w:line="360" w:lineRule="auto"/>
              <w:jc w:val="center"/>
              <w:rPr>
                <w:szCs w:val="21"/>
              </w:rPr>
            </w:pPr>
          </w:p>
        </w:tc>
        <w:tc>
          <w:tcPr>
            <w:tcW w:w="1051" w:type="dxa"/>
            <w:vAlign w:val="center"/>
          </w:tcPr>
          <w:p>
            <w:pPr>
              <w:spacing w:line="360" w:lineRule="auto"/>
              <w:jc w:val="center"/>
            </w:pPr>
          </w:p>
        </w:tc>
        <w:tc>
          <w:tcPr>
            <w:tcW w:w="1466" w:type="dxa"/>
            <w:vAlign w:val="center"/>
          </w:tcPr>
          <w:p>
            <w:pPr>
              <w:spacing w:line="360" w:lineRule="auto"/>
              <w:jc w:val="center"/>
            </w:pPr>
          </w:p>
        </w:tc>
        <w:tc>
          <w:tcPr>
            <w:tcW w:w="2268" w:type="dxa"/>
            <w:vAlign w:val="center"/>
          </w:tcPr>
          <w:p>
            <w:pPr>
              <w:spacing w:line="360" w:lineRule="auto"/>
              <w:jc w:val="center"/>
            </w:pPr>
          </w:p>
        </w:tc>
        <w:tc>
          <w:tcPr>
            <w:tcW w:w="3145" w:type="dxa"/>
            <w:vAlign w:val="center"/>
          </w:tcPr>
          <w:p>
            <w:pPr>
              <w:spacing w:line="360" w:lineRule="auto"/>
              <w:jc w:val="cente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auto"/>
              <w:jc w:val="center"/>
              <w:rPr>
                <w:b/>
                <w:szCs w:val="21"/>
              </w:rPr>
            </w:pPr>
            <w:r>
              <w:rPr>
                <w:rFonts w:hint="eastAsia"/>
                <w:b/>
                <w:szCs w:val="21"/>
              </w:rPr>
              <w:t>序号</w:t>
            </w:r>
          </w:p>
        </w:tc>
        <w:tc>
          <w:tcPr>
            <w:tcW w:w="3626" w:type="dxa"/>
            <w:vAlign w:val="center"/>
          </w:tcPr>
          <w:p>
            <w:pPr>
              <w:spacing w:line="360" w:lineRule="auto"/>
              <w:jc w:val="center"/>
              <w:rPr>
                <w:b/>
                <w:szCs w:val="21"/>
              </w:rPr>
            </w:pPr>
            <w:r>
              <w:rPr>
                <w:rFonts w:hint="eastAsia"/>
                <w:b/>
                <w:szCs w:val="21"/>
              </w:rPr>
              <w:t>姓  名</w:t>
            </w:r>
          </w:p>
        </w:tc>
        <w:tc>
          <w:tcPr>
            <w:tcW w:w="2410" w:type="dxa"/>
            <w:vAlign w:val="center"/>
          </w:tcPr>
          <w:p>
            <w:pPr>
              <w:spacing w:line="360" w:lineRule="auto"/>
              <w:jc w:val="center"/>
              <w:rPr>
                <w:b/>
                <w:szCs w:val="21"/>
              </w:rPr>
            </w:pPr>
            <w:r>
              <w:rPr>
                <w:rFonts w:hint="eastAsia"/>
                <w:b/>
                <w:szCs w:val="21"/>
              </w:rPr>
              <w:t>审核中的作用</w:t>
            </w:r>
          </w:p>
        </w:tc>
        <w:tc>
          <w:tcPr>
            <w:tcW w:w="3145" w:type="dxa"/>
            <w:vAlign w:val="center"/>
          </w:tcPr>
          <w:p>
            <w:pPr>
              <w:spacing w:line="360" w:lineRule="auto"/>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auto"/>
              <w:jc w:val="center"/>
              <w:rPr>
                <w:szCs w:val="21"/>
              </w:rPr>
            </w:pPr>
            <w:r>
              <w:rPr>
                <w:rFonts w:hint="eastAsia"/>
                <w:szCs w:val="21"/>
              </w:rPr>
              <w:t>1</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向导</w:t>
            </w:r>
          </w:p>
        </w:tc>
        <w:tc>
          <w:tcPr>
            <w:tcW w:w="3145" w:type="dxa"/>
            <w:vAlign w:val="center"/>
          </w:tcPr>
          <w:p>
            <w:pPr>
              <w:spacing w:line="360" w:lineRule="auto"/>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auto"/>
              <w:jc w:val="center"/>
              <w:rPr>
                <w:szCs w:val="21"/>
              </w:rPr>
            </w:pPr>
            <w:r>
              <w:rPr>
                <w:rFonts w:hint="eastAsia"/>
                <w:szCs w:val="21"/>
              </w:rPr>
              <w:t>2</w:t>
            </w:r>
          </w:p>
        </w:tc>
        <w:tc>
          <w:tcPr>
            <w:tcW w:w="3626" w:type="dxa"/>
            <w:vAlign w:val="center"/>
          </w:tcPr>
          <w:p>
            <w:pPr>
              <w:spacing w:line="360" w:lineRule="auto"/>
              <w:jc w:val="center"/>
              <w:rPr>
                <w:szCs w:val="21"/>
              </w:rPr>
            </w:pPr>
          </w:p>
        </w:tc>
        <w:tc>
          <w:tcPr>
            <w:tcW w:w="2410" w:type="dxa"/>
            <w:vAlign w:val="center"/>
          </w:tcPr>
          <w:p>
            <w:pPr>
              <w:spacing w:line="360" w:lineRule="auto"/>
              <w:jc w:val="center"/>
              <w:rPr>
                <w:szCs w:val="21"/>
              </w:rPr>
            </w:pPr>
            <w:r>
              <w:rPr>
                <w:rFonts w:hint="eastAsia"/>
                <w:szCs w:val="21"/>
              </w:rPr>
              <w:t>观察员</w:t>
            </w:r>
          </w:p>
        </w:tc>
        <w:tc>
          <w:tcPr>
            <w:tcW w:w="3145" w:type="dxa"/>
            <w:vAlign w:val="center"/>
          </w:tcPr>
          <w:p>
            <w:pPr>
              <w:spacing w:line="360" w:lineRule="auto"/>
              <w:jc w:val="center"/>
              <w:rPr>
                <w:szCs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质量管理体系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199916228"/>
      <w:bookmarkStart w:id="15" w:name="_Toc200428866"/>
    </w:p>
    <w:p>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pPr>
        <w:pStyle w:val="26"/>
        <w:spacing w:line="360" w:lineRule="auto"/>
        <w:jc w:val="both"/>
        <w:outlineLvl w:val="1"/>
        <w:rPr>
          <w:color w:val="auto"/>
          <w:kern w:val="2"/>
          <w:sz w:val="21"/>
          <w:szCs w:val="21"/>
        </w:rPr>
      </w:pPr>
      <w:r>
        <w:rPr>
          <w:rFonts w:hint="eastAsia"/>
          <w:b/>
          <w:color w:val="auto"/>
          <w:kern w:val="2"/>
          <w:sz w:val="21"/>
          <w:szCs w:val="21"/>
        </w:rPr>
        <w:t xml:space="preserve">1.5.1 审核时间：  </w:t>
      </w:r>
      <w:bookmarkStart w:id="16" w:name="审核日期"/>
      <w:r>
        <w:rPr>
          <w:rFonts w:hint="eastAsia"/>
          <w:color w:val="auto"/>
          <w:kern w:val="2"/>
          <w:sz w:val="21"/>
          <w:szCs w:val="21"/>
        </w:rPr>
        <w:t>2023年10月</w:t>
      </w:r>
      <w:r>
        <w:rPr>
          <w:rFonts w:hint="eastAsia"/>
          <w:color w:val="auto"/>
          <w:kern w:val="2"/>
          <w:sz w:val="21"/>
          <w:szCs w:val="21"/>
          <w:lang w:val="en-US" w:eastAsia="zh-CN"/>
        </w:rPr>
        <w:t>22</w:t>
      </w:r>
      <w:r>
        <w:rPr>
          <w:rFonts w:hint="eastAsia"/>
          <w:color w:val="auto"/>
          <w:kern w:val="2"/>
          <w:sz w:val="21"/>
          <w:szCs w:val="21"/>
        </w:rPr>
        <w:t>日 上午至2023年10月</w:t>
      </w:r>
      <w:r>
        <w:rPr>
          <w:rFonts w:hint="eastAsia"/>
          <w:color w:val="auto"/>
          <w:kern w:val="2"/>
          <w:sz w:val="21"/>
          <w:szCs w:val="21"/>
          <w:lang w:val="en-US" w:eastAsia="zh-CN"/>
        </w:rPr>
        <w:t>22</w:t>
      </w:r>
      <w:bookmarkStart w:id="34" w:name="_GoBack"/>
      <w:bookmarkEnd w:id="34"/>
      <w:r>
        <w:rPr>
          <w:rFonts w:hint="eastAsia"/>
          <w:color w:val="auto"/>
          <w:kern w:val="2"/>
          <w:sz w:val="21"/>
          <w:szCs w:val="21"/>
        </w:rPr>
        <w:t>日 下午</w:t>
      </w:r>
      <w:bookmarkEnd w:id="16"/>
      <w:r>
        <w:rPr>
          <w:rFonts w:hint="eastAsia"/>
          <w:color w:val="auto"/>
          <w:kern w:val="2"/>
          <w:sz w:val="21"/>
          <w:szCs w:val="21"/>
        </w:rPr>
        <w:t>实施审核。</w:t>
      </w:r>
    </w:p>
    <w:p>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outlineLvl w:val="1"/>
        <w:rPr>
          <w:color w:val="auto"/>
          <w:kern w:val="2"/>
          <w:sz w:val="21"/>
          <w:szCs w:val="21"/>
        </w:rPr>
      </w:pPr>
    </w:p>
    <w:p>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auto"/>
        <w:ind w:firstLine="420" w:firstLineChars="200"/>
      </w:pPr>
      <w:bookmarkStart w:id="20" w:name="_Hlk131589579"/>
      <w:r>
        <w:rPr>
          <w:rFonts w:hint="eastAsia"/>
        </w:rPr>
        <w:t>注册地址：</w:t>
      </w:r>
      <w:bookmarkStart w:id="21" w:name="注册地址"/>
      <w:r>
        <w:t>巨野县巨田路路东（武警中队对过）</w:t>
      </w:r>
      <w:bookmarkEnd w:id="21"/>
    </w:p>
    <w:p>
      <w:pPr>
        <w:spacing w:line="360" w:lineRule="auto"/>
        <w:ind w:firstLine="420" w:firstLineChars="200"/>
      </w:pPr>
      <w:r>
        <w:rPr>
          <w:rFonts w:hint="eastAsia"/>
        </w:rPr>
        <w:t xml:space="preserve">办公地址： </w:t>
      </w:r>
    </w:p>
    <w:p>
      <w:pPr>
        <w:spacing w:line="360" w:lineRule="auto"/>
        <w:ind w:firstLine="420" w:firstLineChars="200"/>
      </w:pPr>
      <w:r>
        <w:rPr>
          <w:rFonts w:hint="eastAsia"/>
        </w:rPr>
        <w:t>经营地址：</w:t>
      </w:r>
      <w:bookmarkStart w:id="22" w:name="生产地址"/>
      <w:r>
        <w:t>巨野县巨田路路东（武警中队对过）</w:t>
      </w:r>
      <w:bookmarkEnd w:id="22"/>
    </w:p>
    <w:p>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bookmarkEnd w:id="20"/>
    <w:p>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pPr>
        <w:spacing w:line="360" w:lineRule="auto"/>
        <w:ind w:left="426"/>
      </w:pPr>
      <w:r>
        <w:rPr>
          <w:rFonts w:hint="eastAsia"/>
        </w:rPr>
        <w:t>暂停原因：</w:t>
      </w:r>
    </w:p>
    <w:p>
      <w:pPr>
        <w:spacing w:line="360" w:lineRule="auto"/>
        <w:ind w:left="426"/>
      </w:pPr>
      <w:r>
        <w:rPr>
          <w:rFonts w:hint="eastAsia"/>
        </w:rPr>
        <w:t>暂停期间体系运行情况及认证资格使用情况：</w:t>
      </w:r>
    </w:p>
    <w:p>
      <w:pPr>
        <w:spacing w:line="360" w:lineRule="auto"/>
        <w:ind w:left="426"/>
        <w:rPr>
          <w:b/>
          <w:szCs w:val="21"/>
        </w:rPr>
      </w:pPr>
      <w:r>
        <w:rPr>
          <w:rFonts w:hint="eastAsia"/>
        </w:rPr>
        <w:t xml:space="preserve">经现场审核，暂停证书的原因是否消除： </w:t>
      </w:r>
    </w:p>
    <w:p>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pPr>
        <w:pStyle w:val="26"/>
        <w:spacing w:line="360" w:lineRule="auto"/>
        <w:jc w:val="both"/>
        <w:outlineLvl w:val="1"/>
        <w:rPr>
          <w:color w:val="auto"/>
          <w:kern w:val="2"/>
          <w:sz w:val="21"/>
          <w:szCs w:val="21"/>
        </w:rPr>
      </w:pPr>
      <w:r>
        <w:rPr>
          <w:rFonts w:hint="eastAsia"/>
          <w:color w:val="auto"/>
          <w:kern w:val="2"/>
          <w:sz w:val="21"/>
          <w:szCs w:val="21"/>
        </w:rPr>
        <w:t xml:space="preserve">1）审核计划的调整：   </w:t>
      </w:r>
      <w:r>
        <w:rPr>
          <w:rFonts w:hint="eastAsia" w:cs="宋体"/>
          <w:b/>
          <w:color w:val="auto"/>
          <w:sz w:val="21"/>
          <w:szCs w:val="21"/>
        </w:rPr>
        <w:t>□</w:t>
      </w:r>
      <w:r>
        <w:rPr>
          <w:rFonts w:hint="eastAsia"/>
          <w:color w:val="auto"/>
          <w:kern w:val="2"/>
          <w:sz w:val="21"/>
          <w:szCs w:val="21"/>
        </w:rPr>
        <w:t xml:space="preserve">未调整； </w:t>
      </w:r>
      <w:r>
        <w:rPr>
          <w:rFonts w:hint="eastAsia" w:cs="宋体"/>
          <w:b/>
          <w:color w:val="auto"/>
          <w:sz w:val="21"/>
          <w:szCs w:val="21"/>
        </w:rPr>
        <w:t>□</w:t>
      </w:r>
      <w:r>
        <w:rPr>
          <w:rFonts w:hint="eastAsia"/>
          <w:color w:val="auto"/>
          <w:kern w:val="2"/>
          <w:sz w:val="21"/>
          <w:szCs w:val="21"/>
        </w:rPr>
        <w:t>有调整，调整情况：</w:t>
      </w:r>
    </w:p>
    <w:p>
      <w:pPr>
        <w:spacing w:line="360" w:lineRule="auto"/>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pPr>
      <w:r>
        <w:rPr>
          <w:rFonts w:hint="eastAsia"/>
        </w:rPr>
        <w:t>双方商定的不符合项整改时限： 年 月 日前提交审核组长。</w:t>
      </w:r>
    </w:p>
    <w:p>
      <w:pPr>
        <w:tabs>
          <w:tab w:val="left" w:pos="2552"/>
        </w:tabs>
        <w:spacing w:line="360" w:lineRule="auto"/>
        <w:ind w:left="420" w:leftChars="200"/>
        <w:rPr>
          <w:szCs w:val="21"/>
        </w:rPr>
      </w:pPr>
      <w:r>
        <w:rPr>
          <w:rFonts w:hint="eastAsia"/>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bCs/>
          <w:szCs w:val="21"/>
        </w:rPr>
      </w:pPr>
      <w:r>
        <w:rPr>
          <w:rFonts w:hint="eastAsia"/>
          <w:b/>
          <w:bCs/>
          <w:szCs w:val="21"/>
        </w:rPr>
        <w:t>1.5.8 本次审核未解决的分歧意见及其他未尽事宜：</w:t>
      </w:r>
    </w:p>
    <w:p>
      <w:pPr>
        <w:spacing w:line="360" w:lineRule="auto"/>
        <w:rPr>
          <w:szCs w:val="21"/>
        </w:rPr>
      </w:pPr>
    </w:p>
    <w:p>
      <w:pPr>
        <w:pStyle w:val="2"/>
        <w:spacing w:line="360" w:lineRule="auto"/>
      </w:pPr>
    </w:p>
    <w:p>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199916225"/>
      <w:bookmarkStart w:id="25" w:name="_Toc204739688"/>
      <w:r>
        <w:rPr>
          <w:b/>
          <w:szCs w:val="21"/>
          <w:lang w:val="en-GB"/>
        </w:rPr>
        <w:t xml:space="preserve">                                 </w:t>
      </w:r>
      <w:r>
        <w:rPr>
          <w:rFonts w:hint="eastAsia"/>
          <w:b/>
          <w:szCs w:val="21"/>
          <w:lang w:val="en-GB"/>
        </w:rPr>
        <w:t xml:space="preserve">          </w:t>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spacing w:line="360" w:lineRule="auto"/>
        <w:rPr>
          <w:b/>
          <w:lang w:val="en-GB"/>
        </w:rPr>
      </w:pPr>
      <w:r>
        <w:rPr>
          <w:rFonts w:hint="eastAsia"/>
          <w:b/>
          <w:szCs w:val="21"/>
        </w:rPr>
        <w:t xml:space="preserve">2.2 </w:t>
      </w:r>
      <w:r>
        <w:rPr>
          <w:rFonts w:hint="eastAsia" w:hAnsi="宋体"/>
          <w:b/>
          <w:szCs w:val="21"/>
        </w:rPr>
        <w:t xml:space="preserve">重要审核点的监测及绩效                                          </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rPr>
            </w:pPr>
          </w:p>
          <w:p>
            <w:pPr>
              <w:pStyle w:val="26"/>
              <w:spacing w:before="156" w:beforeLines="50" w:after="156" w:afterLines="50" w:line="360" w:lineRule="auto"/>
              <w:rPr>
                <w:b/>
                <w:color w:val="auto"/>
                <w:kern w:val="2"/>
                <w:sz w:val="21"/>
              </w:rPr>
            </w:pPr>
          </w:p>
        </w:tc>
      </w:tr>
    </w:tbl>
    <w:p>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pPr>
              <w:pStyle w:val="26"/>
              <w:spacing w:before="156" w:beforeLines="50" w:after="156" w:afterLines="50" w:line="360" w:lineRule="auto"/>
              <w:rPr>
                <w:bCs/>
                <w:color w:val="auto"/>
                <w:kern w:val="2"/>
                <w:sz w:val="21"/>
              </w:rPr>
            </w:pPr>
          </w:p>
          <w:p>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 xml:space="preserve">： </w:t>
            </w:r>
          </w:p>
          <w:p>
            <w:pPr>
              <w:pStyle w:val="26"/>
              <w:spacing w:before="156" w:beforeLines="50" w:after="156" w:afterLines="50" w:line="360" w:lineRule="auto"/>
              <w:rPr>
                <w:color w:val="auto"/>
                <w:sz w:val="21"/>
                <w:szCs w:val="21"/>
              </w:rPr>
            </w:pPr>
          </w:p>
          <w:p>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pPr>
        <w:spacing w:line="360" w:lineRule="auto"/>
      </w:pPr>
      <w:r>
        <w:rPr>
          <w:rFonts w:hint="eastAsia"/>
        </w:rPr>
        <w:t>1）组织的名称、位置与区域：</w:t>
      </w:r>
    </w:p>
    <w:p>
      <w:pPr>
        <w:spacing w:line="360" w:lineRule="auto"/>
      </w:pPr>
      <w:r>
        <w:rPr>
          <w:rFonts w:hint="eastAsia"/>
        </w:rPr>
        <w:t>2）组织机构：</w:t>
      </w:r>
    </w:p>
    <w:p>
      <w:pPr>
        <w:spacing w:line="360" w:lineRule="auto"/>
      </w:pPr>
      <w:r>
        <w:rPr>
          <w:rFonts w:hint="eastAsia"/>
        </w:rPr>
        <w:t>3）管理体系：</w:t>
      </w:r>
    </w:p>
    <w:p>
      <w:pPr>
        <w:spacing w:line="360" w:lineRule="auto"/>
      </w:pPr>
      <w:r>
        <w:rPr>
          <w:rFonts w:hint="eastAsia"/>
        </w:rPr>
        <w:t>4）资源配置:</w:t>
      </w:r>
    </w:p>
    <w:p>
      <w:pPr>
        <w:spacing w:line="360" w:lineRule="auto"/>
      </w:pPr>
      <w:r>
        <w:rPr>
          <w:rFonts w:hint="eastAsia"/>
        </w:rPr>
        <w:t>5）产品及其主要过程:</w:t>
      </w:r>
    </w:p>
    <w:p>
      <w:pPr>
        <w:spacing w:line="360" w:lineRule="auto"/>
      </w:pPr>
      <w:r>
        <w:rPr>
          <w:rFonts w:hint="eastAsia"/>
        </w:rPr>
        <w:t>6）法律法规及产品、检验标准:</w:t>
      </w:r>
    </w:p>
    <w:p>
      <w:pPr>
        <w:spacing w:line="360" w:lineRule="auto"/>
      </w:pPr>
      <w:r>
        <w:rPr>
          <w:rFonts w:hint="eastAsia"/>
        </w:rPr>
        <w:t>7）外部环境:</w:t>
      </w:r>
    </w:p>
    <w:p>
      <w:pPr>
        <w:spacing w:line="360" w:lineRule="auto"/>
      </w:pPr>
      <w:r>
        <w:rPr>
          <w:rFonts w:hint="eastAsia"/>
        </w:rPr>
        <w:t>8）审核范围（及不适用条款的合理性</w:t>
      </w:r>
      <w:r>
        <w:t>）</w:t>
      </w:r>
      <w:r>
        <w:rPr>
          <w:rFonts w:hint="eastAsia"/>
        </w:rPr>
        <w:t>:</w:t>
      </w:r>
    </w:p>
    <w:p>
      <w:pPr>
        <w:spacing w:line="360" w:lineRule="auto"/>
      </w:pPr>
      <w:r>
        <w:rPr>
          <w:rFonts w:hint="eastAsia"/>
        </w:rPr>
        <w:t>9）联系方式:</w:t>
      </w:r>
    </w:p>
    <w:p>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pPr>
        <w:pStyle w:val="26"/>
        <w:tabs>
          <w:tab w:val="left" w:pos="3011"/>
        </w:tabs>
        <w:spacing w:line="360" w:lineRule="auto"/>
        <w:jc w:val="both"/>
        <w:outlineLvl w:val="1"/>
        <w:rPr>
          <w:b/>
          <w:color w:val="auto"/>
          <w:kern w:val="2"/>
          <w:sz w:val="21"/>
          <w:lang w:val="en-GB"/>
        </w:rPr>
      </w:pPr>
    </w:p>
    <w:p>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pPr>
        <w:tabs>
          <w:tab w:val="left" w:pos="2552"/>
        </w:tabs>
        <w:spacing w:line="360" w:lineRule="auto"/>
        <w:rPr>
          <w:szCs w:val="21"/>
          <w:lang w:val="en-GB"/>
        </w:rPr>
      </w:pPr>
    </w:p>
    <w:p>
      <w:pPr>
        <w:pStyle w:val="26"/>
        <w:spacing w:line="360" w:lineRule="auto"/>
        <w:rPr>
          <w:b/>
          <w:color w:val="auto"/>
          <w:kern w:val="2"/>
          <w:sz w:val="21"/>
          <w:lang w:val="en-GB"/>
        </w:rPr>
      </w:pPr>
    </w:p>
    <w:bookmarkEnd w:id="23"/>
    <w:p>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pPr>
        <w:pStyle w:val="26"/>
        <w:spacing w:line="360" w:lineRule="auto"/>
        <w:ind w:firstLine="565" w:firstLineChars="296"/>
        <w:rPr>
          <w:rFonts w:ascii="宋体" w:hAnsi="宋体"/>
          <w:b/>
          <w:spacing w:val="-10"/>
          <w:kern w:val="2"/>
          <w:sz w:val="21"/>
          <w:szCs w:val="21"/>
        </w:rPr>
      </w:pPr>
    </w:p>
    <w:p>
      <w:pPr>
        <w:pStyle w:val="26"/>
        <w:spacing w:before="156" w:beforeLines="50" w:after="156" w:afterLines="50" w:line="360" w:lineRule="auto"/>
        <w:rPr>
          <w:b/>
          <w:color w:val="auto"/>
          <w:kern w:val="2"/>
          <w:sz w:val="21"/>
          <w:lang w:val="en-GB"/>
        </w:rPr>
      </w:pPr>
      <w:bookmarkStart w:id="29" w:name="_Toc199916230"/>
      <w:bookmarkStart w:id="30" w:name="_Toc199153394"/>
      <w:bookmarkStart w:id="31" w:name="_Toc204739692"/>
      <w:r>
        <w:rPr>
          <w:rFonts w:hint="eastAsia"/>
          <w:b/>
          <w:color w:val="auto"/>
          <w:kern w:val="2"/>
          <w:sz w:val="21"/>
          <w:lang w:val="en-GB"/>
        </w:rPr>
        <w:t>七、审核结论及推荐意见</w:t>
      </w:r>
      <w:bookmarkEnd w:id="29"/>
      <w:bookmarkEnd w:id="30"/>
      <w:bookmarkEnd w:id="31"/>
    </w:p>
    <w:p>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pPr>
        <w:pStyle w:val="26"/>
        <w:spacing w:before="156" w:beforeLines="50" w:after="156" w:afterLines="50" w:line="360" w:lineRule="auto"/>
        <w:rPr>
          <w:b/>
          <w:color w:val="auto"/>
          <w:kern w:val="2"/>
          <w:sz w:val="21"/>
          <w:lang w:val="en-GB"/>
        </w:rPr>
      </w:pPr>
    </w:p>
    <w:p>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 xml:space="preserve"> 扩大认证范围</w:t>
      </w:r>
    </w:p>
    <w:p>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 xml:space="preserve"> 缩小认证范围</w:t>
      </w:r>
    </w:p>
    <w:p>
      <w:pPr>
        <w:pStyle w:val="26"/>
        <w:spacing w:line="360" w:lineRule="auto"/>
        <w:rPr>
          <w:color w:val="auto"/>
          <w:kern w:val="2"/>
          <w:sz w:val="21"/>
          <w:szCs w:val="21"/>
          <w:lang w:val="en-GB"/>
        </w:rPr>
      </w:pPr>
    </w:p>
    <w:p>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pPr>
        <w:spacing w:line="360" w:lineRule="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3233" w:firstLineChars="1150"/>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03FC6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4030</Words>
  <Characters>4340</Characters>
  <Lines>36</Lines>
  <Paragraphs>10</Paragraphs>
  <TotalTime>8</TotalTime>
  <ScaleCrop>false</ScaleCrop>
  <LinksUpToDate>false</LinksUpToDate>
  <CharactersWithSpaces>4734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2023-10-13T09:54:41Z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2052-12.1.0.15712</vt:lpwstr>
  </property>
</Properties>
</file>