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江西贸通实业有限公司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主要为采购和销售过程的风险，制定了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采购控制程序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销售和服务管理控制程序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重要环境因素：潜在火灾、能源消耗、固废排放，制定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资源能源控制程序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不可接受风险：触电、火灾和意外伤害，制定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中华人民共和国职业病防治法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中华人民共和国消防法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中华人民共和国安全生产法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中华人民共和国环境保护法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中华人民共和国大气污染防治法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工业企业厂界环境噪声排放标准GB12348-2008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"http://www.zbgb.org/2/StandardDetail2425903.htm" \o "工业用缝纫机 缝纫机、缝纫单元和缝纫系统的安全要求" \t "http://www.zbgb.org/_blank"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工业用缝纫机 缝纫机、缝纫单元和缝纫系统的安全要求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rFonts w:hint="eastAsia"/>
                <w:sz w:val="18"/>
                <w:szCs w:val="18"/>
              </w:rPr>
              <w:instrText xml:space="preserve"> HYPERLINK "http://www.zbgb.org/2/StandardDetail2425903.htm" \o "工业用缝纫机 缝纫机、缝纫单元和缝纫系统的安全要求" \t "http://www.zbgb.org/_blank"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GB/T 30421-2013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2020.4.7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2020.4.7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F1265F"/>
    <w:rsid w:val="6E665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小小</cp:lastModifiedBy>
  <dcterms:modified xsi:type="dcterms:W3CDTF">2020-04-06T03:14:49Z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