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F0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2020-04-09T08:46:38Z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