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成都市豪盛华达纸业有限公司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陈银</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07.02.02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19001-2016idtISO 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成都市豪盛华达纸业有限公司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成都市郫县成都现代工业港南片区</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611730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成都市郫县成都现代工业港南片区通港路108号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611730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苏宏</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13679086363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苏圣源</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苏宏</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湿巾的生产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07.02.02</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2019-08-30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技术</w:t>
            </w:r>
            <w:r>
              <w:rPr>
                <w:rFonts w:hint="eastAsia" w:ascii="宋体" w:hAnsi="宋体"/>
                <w:b/>
                <w:color w:val="000000" w:themeColor="text1"/>
                <w:sz w:val="20"/>
                <w:szCs w:val="20"/>
                <w:lang w:eastAsia="zh-CN"/>
              </w:rPr>
              <w:t>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策划管理；过程监控管理；服务过程管理；设备设施管理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监视和测量设备管理；不合格品控制；纠正和预防措施控制</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经营部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p>
        </w:tc>
        <w:tc>
          <w:tcPr>
            <w:tcW w:w="6804" w:type="dxa"/>
            <w:vAlign w:val="top"/>
          </w:tcPr>
          <w:p>
            <w:pPr>
              <w:jc w:val="center"/>
              <w:rPr>
                <w:rFonts w:hint="eastAsia"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湿巾的生产</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rFonts w:hint="default" w:eastAsia="宋体"/>
          <w:b/>
          <w:color w:val="000000" w:themeColor="text1"/>
          <w:spacing w:val="-10"/>
          <w:szCs w:val="21"/>
          <w:lang w:val="en-US" w:eastAsia="zh-CN"/>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2019年08月30日至2020年04月10日。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pPr w:leftFromText="180" w:rightFromText="180" w:vertAnchor="text" w:horzAnchor="page" w:tblpX="992" w:tblpY="319"/>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 xml:space="preserve">质量第一、顾客至上、科技领先、追求卓越  </w:t>
            </w:r>
            <w:r>
              <w:rPr>
                <w:rFonts w:hint="eastAsia"/>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sz w:val="20"/>
              </w:rPr>
              <w:t>湿巾的生产</w:t>
            </w:r>
            <w:r>
              <w:rPr>
                <w:rFonts w:hint="eastAsia" w:ascii="宋体" w:hAnsi="宋体"/>
                <w:szCs w:val="21"/>
              </w:rPr>
              <w:t xml:space="preserve">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需要确认过程：</w:t>
            </w:r>
            <w:r>
              <w:rPr>
                <w:rFonts w:hint="eastAsia" w:ascii="宋体"/>
                <w:sz w:val="24"/>
                <w:szCs w:val="22"/>
              </w:rPr>
              <w:t xml:space="preserve">  </w:t>
            </w:r>
            <w:r>
              <w:rPr>
                <w:rFonts w:hint="eastAsia" w:ascii="Times New Roman" w:hAnsi="Times New Roman" w:cs="Times New Roman"/>
                <w:sz w:val="20"/>
                <w:lang w:val="en-US" w:eastAsia="zh-CN"/>
              </w:rPr>
              <w:t>在线检测过程</w:t>
            </w:r>
          </w:p>
          <w:p>
            <w:pPr>
              <w:tabs>
                <w:tab w:val="left" w:pos="540"/>
              </w:tabs>
              <w:spacing w:line="300" w:lineRule="exact"/>
              <w:ind w:left="201" w:hanging="201" w:hangingChars="100"/>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外包过程：   无</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rPr>
              <w:pict>
                <v:shape id="_x0000_s2050" o:spid="_x0000_s2050"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Q8.3       ，不适用理由：</w:t>
            </w:r>
            <w:r>
              <w:rPr>
                <w:rFonts w:hint="eastAsia" w:ascii="宋体" w:hAnsi="宋体" w:cs="Times New Roman"/>
                <w:szCs w:val="21"/>
                <w:lang w:eastAsia="zh-CN"/>
              </w:rPr>
              <w:t>公司湿巾的生产依据国家成熟工艺,按国家规定的生产技术要求生产,因此标准8.3条款“产品和服务的设计和开发”要求不适用</w:t>
            </w:r>
            <w:r>
              <w:rPr>
                <w:rFonts w:hint="eastAsia" w:ascii="宋体" w:hAnsi="宋体" w:cs="Times New Roman"/>
                <w:szCs w:val="21"/>
                <w:lang w:eastAsia="zh-CN"/>
              </w:rPr>
              <w:t xml:space="preserve">，不适用理由合理。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3"/>
              </w:numPr>
              <w:tabs>
                <w:tab w:val="left" w:pos="540"/>
              </w:tabs>
              <w:spacing w:line="300" w:lineRule="exact"/>
              <w:ind w:firstLineChars="0"/>
              <w:rPr>
                <w:rFonts w:hint="eastAsia" w:ascii="宋体" w:hAnsi="宋体"/>
                <w:b/>
                <w:color w:val="000000" w:themeColor="text1"/>
                <w:szCs w:val="21"/>
              </w:rPr>
            </w:pPr>
            <w:r>
              <w:rPr>
                <w:rFonts w:hint="eastAsia" w:ascii="宋体" w:hAnsi="宋体"/>
                <w:b/>
                <w:color w:val="000000" w:themeColor="text1"/>
                <w:szCs w:val="21"/>
              </w:rPr>
              <w:t>法律法规的宣传方式：培训、会议、张贴。</w:t>
            </w:r>
          </w:p>
          <w:p>
            <w:pPr>
              <w:pStyle w:val="10"/>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b/>
                <w:color w:val="000000" w:themeColor="text1"/>
                <w:sz w:val="20"/>
                <w:szCs w:val="20"/>
                <w:highlight w:val="none"/>
              </w:rPr>
            </w:pPr>
            <w:r>
              <w:rPr>
                <w:rFonts w:hint="eastAsia" w:ascii="宋体" w:hAnsi="宋体" w:cs="宋体"/>
                <w:color w:val="000000"/>
                <w:kern w:val="0"/>
                <w:szCs w:val="21"/>
              </w:rPr>
              <w:t>公司制定、发布了总体目标并分解到相关职能部门和层次，规定了目标值、计算方法、责任部门、检</w:t>
            </w:r>
            <w:r>
              <w:rPr>
                <w:rFonts w:hint="eastAsia" w:ascii="宋体" w:hAnsi="宋体" w:cs="宋体"/>
                <w:color w:val="000000"/>
                <w:kern w:val="0"/>
                <w:szCs w:val="21"/>
                <w:highlight w:val="none"/>
              </w:rPr>
              <w:t>查人、考核频次等。同时，质量目标得到沟通和监视评价，通过数据的汇总统计、描述性统计等方法对目标进行了测量，总体已达到或超过了规定的目标值，但质量目标的数据分析利用不到位</w:t>
            </w:r>
          </w:p>
          <w:p>
            <w:pPr>
              <w:keepNext w:val="0"/>
              <w:keepLines w:val="0"/>
              <w:pageBreakBefore w:val="0"/>
              <w:kinsoku/>
              <w:wordWrap/>
              <w:overflowPunct/>
              <w:topLinePunct w:val="0"/>
              <w:autoSpaceDE/>
              <w:autoSpaceDN/>
              <w:bidi w:val="0"/>
              <w:adjustRightInd/>
              <w:snapToGrid/>
              <w:spacing w:line="240" w:lineRule="auto"/>
              <w:textAlignment w:val="auto"/>
              <w:rPr>
                <w:color w:val="000000"/>
                <w:szCs w:val="21"/>
                <w:highlight w:val="none"/>
              </w:rPr>
            </w:pPr>
            <w:r>
              <w:rPr>
                <w:rFonts w:hint="eastAsia"/>
                <w:color w:val="000000"/>
                <w:szCs w:val="21"/>
                <w:highlight w:val="none"/>
              </w:rPr>
              <w:t>质量目标：</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1、一次交验合格率≥95%</w:t>
            </w:r>
            <w:r>
              <w:rPr>
                <w:rFonts w:hint="eastAsia" w:cs="Times New Roman"/>
                <w:kern w:val="2"/>
                <w:sz w:val="21"/>
                <w:szCs w:val="21"/>
                <w:highlight w:val="none"/>
                <w:lang w:val="en-US" w:eastAsia="zh-CN" w:bidi="ar-SA"/>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2、产品出厂合格率达到100%</w:t>
            </w:r>
            <w:r>
              <w:rPr>
                <w:rFonts w:hint="eastAsia" w:cs="Times New Roman"/>
                <w:kern w:val="2"/>
                <w:sz w:val="21"/>
                <w:szCs w:val="21"/>
                <w:highlight w:val="none"/>
                <w:lang w:val="en-US" w:eastAsia="zh-CN" w:bidi="ar-SA"/>
              </w:rPr>
              <w:t>；</w:t>
            </w:r>
          </w:p>
          <w:p>
            <w:pPr>
              <w:spacing w:line="300" w:lineRule="exact"/>
              <w:rPr>
                <w:rFonts w:ascii="宋体" w:hAnsi="宋体"/>
                <w:b/>
                <w:color w:val="000000" w:themeColor="text1"/>
              </w:rPr>
            </w:pPr>
            <w:r>
              <w:rPr>
                <w:rFonts w:hint="eastAsia" w:ascii="宋体" w:hAnsi="宋体" w:cs="Times New Roman"/>
                <w:kern w:val="2"/>
                <w:sz w:val="21"/>
                <w:szCs w:val="21"/>
                <w:highlight w:val="none"/>
                <w:lang w:val="en-US" w:eastAsia="zh-CN" w:bidi="ar-SA"/>
              </w:rPr>
              <w:t>3、顾客满意度≥95%。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8</w:t>
            </w:r>
            <w:r>
              <w:rPr>
                <w:rFonts w:hint="eastAsia" w:ascii="宋体" w:hAnsi="宋体" w:cs="宋体"/>
                <w:color w:val="000000" w:themeColor="text1"/>
              </w:rPr>
              <w:t>月</w:t>
            </w:r>
            <w:r>
              <w:rPr>
                <w:rFonts w:hint="eastAsia" w:ascii="宋体" w:hAnsi="宋体" w:cs="宋体"/>
                <w:color w:val="000000" w:themeColor="text1"/>
                <w:lang w:val="en-US" w:eastAsia="zh-CN"/>
              </w:rPr>
              <w:t>30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300" w:lineRule="exact"/>
              <w:rPr>
                <w:rFonts w:hint="eastAsia" w:ascii="宋体" w:hAnsi="宋体"/>
                <w:bCs/>
                <w:iCs/>
              </w:rPr>
            </w:pPr>
            <w:r>
              <w:rPr>
                <w:rFonts w:hint="eastAsia" w:ascii="宋体" w:hAnsi="宋体"/>
                <w:b/>
                <w:color w:val="000000" w:themeColor="text1"/>
                <w:sz w:val="20"/>
                <w:szCs w:val="20"/>
                <w:highlight w:val="none"/>
              </w:rPr>
              <w:t>设</w:t>
            </w:r>
            <w:r>
              <w:rPr>
                <w:rFonts w:hint="eastAsia" w:ascii="宋体" w:hAnsi="宋体"/>
                <w:bCs/>
                <w:iCs/>
              </w:rPr>
              <w:t>备设施（包括信息系统）、</w:t>
            </w:r>
          </w:p>
          <w:p>
            <w:pPr>
              <w:spacing w:line="300" w:lineRule="exact"/>
              <w:ind w:firstLine="210" w:firstLineChars="100"/>
              <w:rPr>
                <w:rFonts w:ascii="宋体" w:hAnsi="宋体"/>
                <w:b/>
                <w:color w:val="000000" w:themeColor="text1"/>
                <w:sz w:val="20"/>
                <w:szCs w:val="20"/>
                <w:highlight w:val="none"/>
              </w:rPr>
            </w:pPr>
            <w:r>
              <w:rPr>
                <w:rFonts w:hint="eastAsia" w:ascii="宋体" w:hAnsi="宋体"/>
                <w:bCs/>
                <w:iCs/>
              </w:rPr>
              <w:t>厂房面积</w:t>
            </w:r>
            <w:r>
              <w:rPr>
                <w:rFonts w:hint="eastAsia" w:ascii="宋体" w:hAnsi="宋体"/>
                <w:bCs/>
                <w:iCs/>
                <w:lang w:val="en-US" w:eastAsia="zh-CN"/>
              </w:rPr>
              <w:t>1500</w:t>
            </w:r>
            <w:r>
              <w:rPr>
                <w:rFonts w:hint="eastAsia" w:ascii="宋体" w:hAnsi="宋体"/>
                <w:bCs/>
                <w:iCs/>
              </w:rPr>
              <w:t>平方米左右，库房</w:t>
            </w:r>
            <w:r>
              <w:rPr>
                <w:rFonts w:hint="eastAsia" w:ascii="宋体" w:hAnsi="宋体"/>
                <w:bCs/>
                <w:iCs/>
                <w:lang w:eastAsia="zh-CN"/>
              </w:rPr>
              <w:t>与生产场所分区</w:t>
            </w:r>
            <w:r>
              <w:rPr>
                <w:rFonts w:hint="eastAsia" w:ascii="宋体" w:hAnsi="宋体"/>
                <w:bCs/>
                <w:iCs/>
              </w:rPr>
              <w:t>，办公场所面积</w:t>
            </w:r>
            <w:r>
              <w:rPr>
                <w:rFonts w:hint="eastAsia" w:ascii="宋体" w:hAnsi="宋体"/>
                <w:bCs/>
                <w:iCs/>
                <w:lang w:val="en-US" w:eastAsia="zh-CN"/>
              </w:rPr>
              <w:t>800</w:t>
            </w:r>
            <w:r>
              <w:rPr>
                <w:rFonts w:hint="eastAsia" w:ascii="宋体" w:hAnsi="宋体"/>
                <w:bCs/>
                <w:iCs/>
              </w:rPr>
              <w:t>平方米左右.主要生产设备包括</w:t>
            </w:r>
            <w:r>
              <w:rPr>
                <w:rFonts w:hint="eastAsia" w:ascii="宋体" w:hAnsi="宋体"/>
                <w:bCs/>
                <w:iCs/>
                <w:lang w:eastAsia="zh-CN"/>
              </w:rPr>
              <w:t>：</w:t>
            </w:r>
            <w:r>
              <w:rPr>
                <w:rFonts w:hint="eastAsia" w:ascii="宋体" w:hAnsi="宋体"/>
                <w:bCs/>
                <w:iCs/>
                <w:lang w:val="en-US" w:eastAsia="zh-CN"/>
              </w:rPr>
              <w:t>单片包装机、湿巾包装机、全自动纯净水机组、封口机等10台套</w:t>
            </w:r>
            <w:r>
              <w:rPr>
                <w:rFonts w:hint="eastAsia" w:ascii="宋体" w:hAnsi="宋体"/>
                <w:bCs/>
                <w:iCs/>
              </w:rPr>
              <w:t>等</w:t>
            </w:r>
            <w:r>
              <w:rPr>
                <w:rFonts w:hint="eastAsia" w:ascii="宋体" w:hAnsi="宋体"/>
                <w:bCs/>
                <w:iCs/>
                <w:lang w:eastAsia="zh-CN"/>
              </w:rPr>
              <w:t>，可以</w:t>
            </w:r>
            <w:r>
              <w:rPr>
                <w:rFonts w:hint="eastAsia" w:ascii="宋体" w:hAnsi="宋体"/>
                <w:bCs/>
                <w:iCs/>
              </w:rPr>
              <w:t>满足生产需要。对设备按月方式进行点检维护保养，并实施。特种设备：</w:t>
            </w:r>
            <w:r>
              <w:rPr>
                <w:rFonts w:hint="eastAsia" w:ascii="宋体" w:hAnsi="宋体"/>
                <w:bCs/>
                <w:iCs/>
                <w:lang w:val="en-US" w:eastAsia="zh-CN"/>
              </w:rPr>
              <w:t>无，</w:t>
            </w:r>
            <w:r>
              <w:rPr>
                <w:rFonts w:hint="eastAsia" w:ascii="宋体" w:hAnsi="宋体"/>
                <w:bCs/>
                <w:iCs/>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rPr>
              <w:t>生产车间及检验部门均按策划的要求配置了相应的检测设备，均采用委外送检的方式。抽在用检具的检定或校准证书能提供在用检具的有效检定或校准证据。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highlight w:val="none"/>
              </w:rPr>
            </w:pPr>
            <w:r>
              <w:rPr>
                <w:rFonts w:hint="eastAsia"/>
                <w:b/>
                <w:color w:val="000000" w:themeColor="text1"/>
                <w:sz w:val="20"/>
                <w:szCs w:val="20"/>
                <w:highlight w:val="none"/>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highlight w:val="none"/>
                <w:lang w:val="en-US" w:eastAsia="zh-CN"/>
              </w:rPr>
            </w:pPr>
            <w:r>
              <w:rPr>
                <w:rFonts w:hint="eastAsia" w:asciiTheme="minorEastAsia" w:hAnsiTheme="minorEastAsia" w:eastAsiaTheme="minorEastAsia"/>
                <w:b/>
                <w:color w:val="000000" w:themeColor="text1"/>
                <w:spacing w:val="-4"/>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highlight w:val="none"/>
              </w:rPr>
              <w:t xml:space="preserve">10. 对特种设备的维护; </w:t>
            </w:r>
            <w:r>
              <w:rPr>
                <w:rFonts w:hint="eastAsia"/>
                <w:b/>
                <w:sz w:val="20"/>
                <w:szCs w:val="20"/>
                <w:highlight w:val="none"/>
              </w:rPr>
              <w:t>（适用时）</w:t>
            </w:r>
          </w:p>
          <w:p>
            <w:pPr>
              <w:ind w:left="210" w:leftChars="100" w:firstLine="100" w:firstLineChars="50"/>
              <w:jc w:val="left"/>
              <w:rPr>
                <w:rFonts w:hint="default" w:eastAsia="宋体"/>
                <w:b/>
                <w:color w:val="000000" w:themeColor="text1"/>
                <w:sz w:val="20"/>
                <w:szCs w:val="20"/>
                <w:highlight w:val="none"/>
                <w:lang w:val="en-US" w:eastAsia="zh-CN"/>
              </w:rPr>
            </w:pPr>
            <w:r>
              <w:rPr>
                <w:rFonts w:hint="eastAsia"/>
                <w:b/>
                <w:sz w:val="20"/>
                <w:szCs w:val="20"/>
                <w:highlight w:val="none"/>
              </w:rPr>
              <w:t>特种设备</w:t>
            </w:r>
            <w:r>
              <w:rPr>
                <w:rFonts w:hint="eastAsia"/>
                <w:b/>
                <w:sz w:val="20"/>
                <w:szCs w:val="20"/>
                <w:highlight w:val="none"/>
                <w:lang w:eastAsia="zh-CN"/>
              </w:rPr>
              <w:t>：</w:t>
            </w:r>
            <w:r>
              <w:rPr>
                <w:rFonts w:hint="eastAsia"/>
                <w:b/>
                <w:sz w:val="20"/>
                <w:szCs w:val="20"/>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Cs w:val="21"/>
                <w:lang w:val="en-US" w:eastAsia="zh-CN"/>
              </w:rPr>
              <w:t>9</w:t>
            </w:r>
            <w:r>
              <w:rPr>
                <w:rFonts w:hint="eastAsia" w:ascii="宋体" w:hAnsi="宋体" w:cs="宋体"/>
                <w:color w:val="000000"/>
                <w:szCs w:val="21"/>
              </w:rPr>
              <w:t>-</w:t>
            </w:r>
            <w:r>
              <w:rPr>
                <w:rFonts w:hint="eastAsia" w:ascii="宋体" w:hAnsi="宋体" w:cs="宋体"/>
                <w:color w:val="000000"/>
                <w:szCs w:val="21"/>
                <w:lang w:val="en-US" w:eastAsia="zh-CN"/>
              </w:rPr>
              <w:t>2020年2</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highlight w:val="none"/>
              </w:rPr>
            </w:pPr>
            <w:r>
              <w:rPr>
                <w:rFonts w:hint="eastAsia"/>
                <w:b/>
                <w:color w:val="000000" w:themeColor="text1"/>
                <w:sz w:val="20"/>
                <w:szCs w:val="20"/>
                <w:highlight w:val="none"/>
              </w:rPr>
              <w:t>2.顾客满意</w:t>
            </w:r>
          </w:p>
          <w:p>
            <w:pPr>
              <w:spacing w:line="240" w:lineRule="exact"/>
              <w:ind w:left="105" w:leftChars="50" w:firstLine="315" w:firstLineChars="150"/>
              <w:rPr>
                <w:b/>
                <w:color w:val="000000" w:themeColor="text1"/>
                <w:sz w:val="20"/>
                <w:szCs w:val="20"/>
                <w:highlight w:val="none"/>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98%</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ind w:left="105" w:leftChars="50" w:firstLine="301" w:firstLineChars="150"/>
              <w:rPr>
                <w:rFonts w:hint="eastAsia" w:ascii="宋体" w:hAnsi="宋体" w:cs="宋体"/>
                <w:color w:val="000000"/>
                <w:szCs w:val="21"/>
                <w:highlight w:val="none"/>
              </w:rPr>
            </w:pPr>
            <w:r>
              <w:rPr>
                <w:rFonts w:hint="eastAsia"/>
                <w:b/>
                <w:color w:val="000000" w:themeColor="text1"/>
                <w:sz w:val="20"/>
                <w:szCs w:val="20"/>
              </w:rPr>
              <w:t>3. 内审（包括内审策划审核方案中考</w:t>
            </w:r>
            <w:r>
              <w:rPr>
                <w:rFonts w:hint="eastAsia" w:ascii="宋体" w:hAnsi="宋体" w:cs="宋体"/>
                <w:color w:val="000000"/>
                <w:szCs w:val="21"/>
                <w:highlight w:val="none"/>
              </w:rPr>
              <w:t>虑拟审核的过程和区域的状况和重要性）</w:t>
            </w:r>
          </w:p>
          <w:p>
            <w:pPr>
              <w:spacing w:line="240" w:lineRule="exact"/>
              <w:ind w:left="105" w:leftChars="50" w:firstLine="315" w:firstLineChars="150"/>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color w:val="000000"/>
                <w:szCs w:val="21"/>
                <w:highlight w:val="none"/>
                <w:lang w:val="en-US" w:eastAsia="zh-CN"/>
              </w:rPr>
              <w:t>涉及行政部不符合标准7.2条款</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4.管理评审（管理评审体系变更</w:t>
            </w:r>
            <w:r>
              <w:rPr>
                <w:rFonts w:hint="eastAsia"/>
                <w:b/>
                <w:color w:val="000000" w:themeColor="text1"/>
                <w:sz w:val="20"/>
                <w:szCs w:val="20"/>
                <w:highlight w:val="none"/>
              </w:rPr>
              <w:t>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highlight w:val="none"/>
              </w:rPr>
              <w:t>管理评审频次为一年一次、本次管理评审于</w:t>
            </w:r>
            <w:r>
              <w:rPr>
                <w:rFonts w:hint="eastAsia" w:ascii="宋体" w:hAnsi="宋体"/>
                <w:kern w:val="0"/>
                <w:sz w:val="21"/>
                <w:szCs w:val="21"/>
                <w:highlight w:val="none"/>
              </w:rPr>
              <w:t>2019年</w:t>
            </w:r>
            <w:r>
              <w:rPr>
                <w:rFonts w:hint="eastAsia" w:ascii="宋体" w:hAnsi="宋体"/>
                <w:kern w:val="0"/>
                <w:sz w:val="21"/>
                <w:szCs w:val="21"/>
                <w:highlight w:val="none"/>
                <w:lang w:val="en-US" w:eastAsia="zh-CN"/>
              </w:rPr>
              <w:t>12</w:t>
            </w:r>
            <w:r>
              <w:rPr>
                <w:rFonts w:hint="eastAsia" w:ascii="宋体" w:hAnsi="宋体"/>
                <w:kern w:val="0"/>
                <w:sz w:val="21"/>
                <w:szCs w:val="21"/>
                <w:highlight w:val="none"/>
              </w:rPr>
              <w:t>月</w:t>
            </w:r>
            <w:r>
              <w:rPr>
                <w:rFonts w:hint="eastAsia" w:ascii="宋体" w:hAnsi="宋体"/>
                <w:kern w:val="0"/>
                <w:sz w:val="21"/>
                <w:szCs w:val="21"/>
                <w:highlight w:val="none"/>
                <w:lang w:val="en-US" w:eastAsia="zh-CN"/>
              </w:rPr>
              <w:t>15</w:t>
            </w:r>
            <w:r>
              <w:rPr>
                <w:rFonts w:hint="eastAsia" w:ascii="宋体" w:hAnsi="宋体"/>
                <w:kern w:val="0"/>
                <w:sz w:val="21"/>
                <w:szCs w:val="21"/>
                <w:highlight w:val="none"/>
              </w:rPr>
              <w:t>日</w:t>
            </w:r>
            <w:r>
              <w:rPr>
                <w:rFonts w:hint="eastAsia" w:ascii="宋体" w:hAnsi="宋体" w:cs="宋体"/>
                <w:szCs w:val="21"/>
                <w:highlight w:val="none"/>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0</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4975" w:firstLineChars="2360"/>
        <w:rPr>
          <w:rFonts w:hint="default" w:eastAsia="宋体"/>
          <w:b/>
          <w:color w:val="000000" w:themeColor="text1"/>
          <w:sz w:val="16"/>
          <w:szCs w:val="16"/>
          <w:lang w:val="en-US" w:eastAsia="zh-CN"/>
        </w:rPr>
      </w:pPr>
      <w:r>
        <w:rPr>
          <w:rFonts w:hint="eastAsia"/>
          <w:b/>
          <w:color w:val="000000" w:themeColor="text1"/>
        </w:rPr>
        <w:t>日期</w:t>
      </w:r>
      <w:r>
        <w:rPr>
          <w:rFonts w:hint="eastAsia" w:asciiTheme="minorEastAsia" w:hAnsiTheme="minorEastAsia" w:eastAsiaTheme="minorEastAsia"/>
          <w:b/>
          <w:color w:val="000000" w:themeColor="text1"/>
          <w:lang w:eastAsia="zh-CN"/>
        </w:rPr>
        <w:t>：</w:t>
      </w:r>
      <w:r>
        <w:rPr>
          <w:rFonts w:hint="eastAsia" w:asciiTheme="minorEastAsia" w:hAnsiTheme="minorEastAsia" w:eastAsiaTheme="minorEastAsia"/>
          <w:b/>
          <w:color w:val="000000" w:themeColor="text1"/>
          <w:lang w:val="en-US" w:eastAsia="zh-CN"/>
        </w:rPr>
        <w:t>2020年04月10日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w:t>
      </w:r>
      <w:r>
        <w:rPr>
          <w:rFonts w:hint="eastAsia"/>
          <w:b/>
          <w:color w:val="000000" w:themeColor="text1"/>
          <w:szCs w:val="21"/>
          <w:lang w:val="en-US" w:eastAsia="zh-CN"/>
        </w:rPr>
        <w:t xml:space="preserve"> </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bookmarkStart w:id="21" w:name="_GoBack"/>
      <w:bookmarkEnd w:id="2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0"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0"/>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2D3639"/>
    <w:rsid w:val="05B320AD"/>
    <w:rsid w:val="0860545C"/>
    <w:rsid w:val="08B9654B"/>
    <w:rsid w:val="0B1E56D6"/>
    <w:rsid w:val="0BDD6AFB"/>
    <w:rsid w:val="0DA91676"/>
    <w:rsid w:val="0ED5535D"/>
    <w:rsid w:val="10F43C51"/>
    <w:rsid w:val="12055ACB"/>
    <w:rsid w:val="195D6D27"/>
    <w:rsid w:val="1DBB5521"/>
    <w:rsid w:val="1E8863B4"/>
    <w:rsid w:val="23FA30E5"/>
    <w:rsid w:val="269C49FB"/>
    <w:rsid w:val="27617282"/>
    <w:rsid w:val="2A277510"/>
    <w:rsid w:val="2F112279"/>
    <w:rsid w:val="2F620BA2"/>
    <w:rsid w:val="2F6A3D22"/>
    <w:rsid w:val="42997A4E"/>
    <w:rsid w:val="48C65928"/>
    <w:rsid w:val="4C130034"/>
    <w:rsid w:val="4EEE38FA"/>
    <w:rsid w:val="52D26773"/>
    <w:rsid w:val="53E951DE"/>
    <w:rsid w:val="55710476"/>
    <w:rsid w:val="5AE71E24"/>
    <w:rsid w:val="5AFA7C53"/>
    <w:rsid w:val="5B0E182A"/>
    <w:rsid w:val="621E7D8E"/>
    <w:rsid w:val="64622872"/>
    <w:rsid w:val="6B5B756A"/>
    <w:rsid w:val="6D3F3949"/>
    <w:rsid w:val="70326066"/>
    <w:rsid w:val="76845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2020-04-09T06:47:12Z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