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</w:t>
      </w:r>
      <w:bookmarkStart w:id="0" w:name="_GoBack"/>
      <w:bookmarkEnd w:id="0"/>
      <w:r>
        <w:rPr>
          <w:rFonts w:hint="eastAsia" w:ascii="隶书" w:hAnsi="宋体" w:eastAsia="隶书"/>
          <w:bCs/>
          <w:color w:val="000000"/>
          <w:sz w:val="36"/>
          <w:szCs w:val="36"/>
        </w:rPr>
        <w:t>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69"/>
        <w:gridCol w:w="1094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56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抽样计划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</w:p>
        </w:tc>
        <w:tc>
          <w:tcPr>
            <w:tcW w:w="10947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供销部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张青</w:t>
            </w:r>
            <w:r>
              <w:rPr>
                <w:rFonts w:hint="eastAsia" w:ascii="宋体" w:hAnsi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陪同人员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张伟  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7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王志慧、岳树亮       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2020年4月8日</w:t>
            </w:r>
          </w:p>
        </w:tc>
        <w:tc>
          <w:tcPr>
            <w:tcW w:w="8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7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</w:t>
            </w:r>
            <w:r>
              <w:rPr>
                <w:rFonts w:hint="eastAsia" w:ascii="宋体" w:hAnsi="宋体" w:cs="宋体"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/6.2/8.1/8.2</w:t>
            </w:r>
          </w:p>
        </w:tc>
        <w:tc>
          <w:tcPr>
            <w:tcW w:w="837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组织的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角色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职责和权限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9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O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5.3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7" w:type="dxa"/>
            <w:vAlign w:val="top"/>
          </w:tcPr>
          <w:p>
            <w:pPr>
              <w:spacing w:line="280" w:lineRule="exact"/>
              <w:ind w:firstLine="42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本部门主要负责采购、销售的及相关职业健康安全管理活动的实施与执行</w:t>
            </w:r>
          </w:p>
          <w:p>
            <w:pPr>
              <w:spacing w:line="280" w:lineRule="exact"/>
              <w:ind w:firstLine="42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负责市场开发，组织投标、合同谈判、合同管理及相关台帐管理、归档；负责顾客满意度的测量工作；</w:t>
            </w:r>
          </w:p>
          <w:p>
            <w:pPr>
              <w:spacing w:line="280" w:lineRule="exact"/>
              <w:ind w:firstLine="42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•  归口管理与顾客有关的过程，包括确定和评审与产品有关的要求，实施与顾客的有效沟通，按顾客要求协调采购计划。</w:t>
            </w:r>
          </w:p>
          <w:p>
            <w:pPr>
              <w:spacing w:line="280" w:lineRule="exact"/>
              <w:ind w:firstLine="42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•  负责物资采购工作。负责制定和实施采购计划。</w:t>
            </w:r>
          </w:p>
          <w:p>
            <w:pPr>
              <w:spacing w:line="280" w:lineRule="exact"/>
              <w:ind w:firstLine="42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•  负责供应商评价、管理工作。</w:t>
            </w:r>
          </w:p>
          <w:p>
            <w:pPr>
              <w:spacing w:line="280" w:lineRule="exact"/>
              <w:ind w:firstLine="42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•  负责本部门环境因素和危险源的识别和评价，进行必要的更新；</w:t>
            </w: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656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工作人员得协商和参与</w:t>
            </w:r>
          </w:p>
        </w:tc>
        <w:tc>
          <w:tcPr>
            <w:tcW w:w="1269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O 5.4</w:t>
            </w:r>
          </w:p>
        </w:tc>
        <w:tc>
          <w:tcPr>
            <w:tcW w:w="10947" w:type="dxa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公司选出安全事务代表：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李成斌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，安全事务代表参与公司内审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管理评审和相关员工安全利益的会议。公司对员工进行安全教育培训，查《培训计划及档案》：</w:t>
            </w:r>
            <w:r>
              <w:rPr>
                <w:rFonts w:hint="eastAsia"/>
                <w:sz w:val="21"/>
                <w:szCs w:val="21"/>
                <w:lang w:eastAsia="zh-CN"/>
              </w:rPr>
              <w:t>2019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10职业健康安全管理管理体系标准及程序文件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2019-12公司安全生产管理制度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2020-1公司职业健康安全管理制度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2020-3职业病防治规定等教育培训。让员工及时获取涉及个人人身安全的知识。企业的安全教育知识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在组织内得到沟通、理解和应用，通过：展板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标语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会议 文件发放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在相关方有需要时提供。通过：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网站 宣传册 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管理手册中描述强调与非管理类工作人员在如下方面的协商：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1）确定相关方的需求和期望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2）建立职业健康安全方针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3）适用时，分配组织的角色、职责和权限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4）确定如何满足法律法规要求和其他要求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5）制定职业健康安全目标并为其实现进行策划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6）确定对外包、采购和承包方的适用控制 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7）确定所需监视、测量和评价的内容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8）策划、建立、实施和保持审核方案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9）确保持续改进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e）强调非管理类工作人员在如下方面的参与：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1）确定其协商和参与的机制；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2）辨识危险源并评价风险和机遇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3）确定消除危险源和降低职业健康安全风险的措施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4）确定能力要求、培训需求、培训和培训效果评价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5）确定沟通的内容和方式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6）确定控制措施及其有效的实施和应用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7）调查事件和不符合并确定纠正措施</w:t>
            </w:r>
          </w:p>
          <w:p>
            <w:pPr>
              <w:pStyle w:val="17"/>
              <w:ind w:firstLine="42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总经理确保</w:t>
            </w:r>
            <w:r>
              <w:rPr>
                <w:rFonts w:hint="eastAsia"/>
                <w:sz w:val="21"/>
                <w:szCs w:val="21"/>
              </w:rPr>
              <w:t>工作人员在提建议时无惧遭受解雇、纪律处分或其他类似报复的威胁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656" w:type="dxa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应对风险和机遇的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措施（总则）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.1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947" w:type="dxa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在策划管理体系时考虑了风险和机遇以及相应的应对措施，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企业编辑了《风险和机遇的应对措施控制程序》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、手册第6.1条款，</w:t>
            </w:r>
            <w:r>
              <w:rPr>
                <w:rFonts w:hint="eastAsia" w:ascii="宋体" w:hAnsi="宋体" w:cs="宋体"/>
                <w:sz w:val="21"/>
                <w:szCs w:val="21"/>
              </w:rPr>
              <w:t>明确风险和机遇事件的识别方法/途径、风险和机遇事件的评估方式、制定主要风险和机遇事件的应对措施的要求、评价这些措施有效性的方法。将需要应对的风险和机遇进行风险分析确定风险级别（一般风险、高风险），在管理体系所确定的过程（客户开发、供应商的要求等）中，整合制定针对性管理措施（如程序控制等）。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1.外部因素主要有：a)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法规要求</w:t>
            </w:r>
            <w:r>
              <w:rPr>
                <w:rFonts w:hint="eastAsia" w:ascii="宋体" w:hAnsi="宋体" w:cs="宋体"/>
                <w:sz w:val="21"/>
                <w:szCs w:val="21"/>
              </w:rPr>
              <w:t>；b)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相关方要求（监管部门的监管力度，供应商的要求，客户的需求，第三方的要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求）</w:t>
            </w:r>
            <w:r>
              <w:rPr>
                <w:rFonts w:hint="eastAsia" w:ascii="宋体" w:hAnsi="宋体" w:cs="宋体"/>
                <w:sz w:val="21"/>
                <w:szCs w:val="21"/>
              </w:rPr>
              <w:t>；c)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新领域、新设备、新工艺；</w:t>
            </w:r>
            <w:r>
              <w:rPr>
                <w:rFonts w:hint="eastAsia" w:ascii="宋体" w:hAnsi="宋体" w:cs="宋体"/>
                <w:sz w:val="21"/>
                <w:szCs w:val="21"/>
              </w:rPr>
              <w:t>d)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市场占有率、市场领先趋势、顾客增长趋势</w:t>
            </w:r>
            <w:r>
              <w:rPr>
                <w:rFonts w:hint="eastAsia" w:ascii="宋体" w:hAnsi="宋体" w:cs="宋体"/>
                <w:sz w:val="21"/>
                <w:szCs w:val="21"/>
              </w:rPr>
              <w:t>等；</w:t>
            </w:r>
          </w:p>
          <w:p>
            <w:pPr>
              <w:spacing w:line="280" w:lineRule="exact"/>
              <w:ind w:left="420" w:leftChars="100" w:hanging="210" w:hangingChars="1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2.内部因素包括：a)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管理流程</w:t>
            </w:r>
            <w:r>
              <w:rPr>
                <w:rFonts w:hint="eastAsia" w:ascii="宋体" w:hAnsi="宋体" w:cs="宋体"/>
                <w:sz w:val="21"/>
                <w:szCs w:val="21"/>
              </w:rPr>
              <w:t>；b)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销售服务能力</w:t>
            </w:r>
            <w:r>
              <w:rPr>
                <w:rFonts w:hint="eastAsia" w:ascii="宋体" w:hAnsi="宋体" w:cs="宋体"/>
                <w:sz w:val="21"/>
                <w:szCs w:val="21"/>
              </w:rPr>
              <w:t>；c)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费用支付资金回收</w:t>
            </w:r>
            <w:r>
              <w:rPr>
                <w:rFonts w:hint="eastAsia" w:ascii="宋体" w:hAnsi="宋体" w:cs="宋体"/>
                <w:sz w:val="21"/>
                <w:szCs w:val="21"/>
              </w:rPr>
              <w:t>；d)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人员的流动 员工业务素质 绩效考核</w:t>
            </w:r>
            <w:r>
              <w:rPr>
                <w:rFonts w:hint="eastAsia" w:ascii="宋体" w:hAnsi="宋体" w:cs="宋体"/>
                <w:sz w:val="21"/>
                <w:szCs w:val="21"/>
              </w:rPr>
              <w:t>；e)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基础设施管理 公司运行环境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见《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风险与机会评价与应对策划表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》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外因：新领域、新设备、新工艺，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风险：公司现有的作业设备如果比较落后，造成业务的成本较高，缺少市场竞争力，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导致公司利润下滑，公司员工福利不能保障。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机遇：通过引进新的设备、工艺，提高公司的作业水平，降低业务成本，提高公司的市场竞争力，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企业利润增加，保障员工福利。</w:t>
            </w:r>
          </w:p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运行控制措施：公司根据目前的技术水平，制定的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作业计划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和设备更新计划，相关职能部门予以有效落实。</w:t>
            </w:r>
          </w:p>
          <w:p>
            <w:pPr>
              <w:pStyle w:val="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内因：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管理流程风险：目前公司管理流程基本覆盖了公司日常工作，但是流程执行力如果得不到保证，会对公司运行带来一定的风险，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员工期望需求得不到沟通。</w:t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机遇：完善流程，提高执行力，可以提高公司的管理水平，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员工或员工代表能参与公司管理，员工期望能够得到沟通。</w:t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运行控制措施：1.各级部门必须严格按照流程开展日常工作，对出现的不符合情况及时调整文件，保持流程的可操作性； </w:t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查《不可接受风险清单》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不可接受风险：■机械伤害、■职业病、■火灾、■高空坠物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措施：1、员工安全培训，制定应急响应；2、配置适量的消防器材；3、对操作工进行设备安全操作培训；4、对设备进行日常维护保养；5、危险部位、运转部位进行防护措施；6、张贴警示标识；7、按期发放劳保用品并检查正确穿戴情况；8安装环保设备，在厂房内无组织排放；9厂房隔声，配套消音器、基础减震；10员工带口罩、耳塞.</w:t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查《危险源辨识及风险评价表》：</w:t>
            </w:r>
          </w:p>
          <w:p>
            <w:pPr>
              <w:pStyle w:val="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违反库房管理规定（库房吸烟、明火作业、避雷设施破坏）；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卸车时采取措施不当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；发货区域车辆多，刹车失灵，车速快，不拉手闸，停车混乱等等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措施：严格执行库房管理，配备消防系统，并经常检查是否在有效期内；装卸车时，要有专人指挥，专人监护，信号联络准确畅通，并对周围环境进行确认；员工安全培训，制定应急响应；建立慢行标志，划出停车线等等。</w:t>
            </w: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656" w:type="dxa"/>
            <w:vAlign w:val="top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OH&amp;S目标及其实现的策划</w:t>
            </w: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O 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sz w:val="21"/>
                <w:szCs w:val="21"/>
              </w:rPr>
              <w:t xml:space="preserve">  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947" w:type="dxa"/>
            <w:vAlign w:val="top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管理目标有：                               </w:t>
            </w:r>
          </w:p>
          <w:p>
            <w:pPr>
              <w:pStyle w:val="18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1、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顾客满意度≥95%；完</w:t>
            </w:r>
          </w:p>
          <w:p>
            <w:pPr>
              <w:pStyle w:val="1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 合同评审率100%，</w:t>
            </w:r>
          </w:p>
          <w:p>
            <w:pPr>
              <w:pStyle w:val="1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 供应商评价达成率100%；</w:t>
            </w:r>
          </w:p>
          <w:p>
            <w:pPr>
              <w:pStyle w:val="1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 固体废弃物分类收集处置率100%</w:t>
            </w:r>
          </w:p>
          <w:p>
            <w:pPr>
              <w:pStyle w:val="18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5、火灾事故为0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          </w:t>
            </w:r>
          </w:p>
          <w:p>
            <w:pPr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目标可测量，与公司方针一致。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管理目标完成情况：查到201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部门管理目标完成情况，以上管理目标已全部完成，考核：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张伟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656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运行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得策划和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控制</w:t>
            </w:r>
          </w:p>
        </w:tc>
        <w:tc>
          <w:tcPr>
            <w:tcW w:w="1269" w:type="dxa"/>
            <w:vAlign w:val="top"/>
          </w:tcPr>
          <w:p>
            <w:pPr>
              <w:spacing w:line="280" w:lineRule="exac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O 8.1</w:t>
            </w:r>
          </w:p>
        </w:tc>
        <w:tc>
          <w:tcPr>
            <w:tcW w:w="1094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有《环境和职业健康安全运行控制管理程序》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XL </w:t>
            </w:r>
            <w:r>
              <w:rPr>
                <w:rFonts w:hint="eastAsia"/>
                <w:sz w:val="21"/>
                <w:szCs w:val="21"/>
              </w:rPr>
              <w:t>/QES02</w:t>
            </w:r>
            <w:r>
              <w:rPr>
                <w:rFonts w:hint="eastAsia"/>
                <w:sz w:val="21"/>
                <w:szCs w:val="21"/>
                <w:lang w:eastAsia="zh-CN"/>
              </w:rPr>
              <w:t>-2019</w:t>
            </w:r>
            <w:r>
              <w:rPr>
                <w:rFonts w:hint="eastAsia"/>
                <w:sz w:val="21"/>
                <w:szCs w:val="21"/>
              </w:rPr>
              <w:t>-15；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XL /QES02-2019-28《外部提供产品、服务和过程控制程序》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■职业病体检：进行职业病体检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查体检报告：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■机械伤害：有医药箱（创可贴、医用酒精、碘伏、十滴水、藿香正气胶囊、京万红）；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■触电：有过流保护器；全公司使用220V的电压；无任何配电柜；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■安全用电：不随便拉电线，不随便使用大功率电器；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■消防：只有消防栓、灭火器（干粉、水基）；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针对职业健康安全目标，企业制定了响应措施：1、员工安全培训，制定应急响应；2、配置适量的消防器材；3、对操作工进行设备安全操作培训；4、对设备进行日常维护保养；5、危险部位、运转部位进行防护措施；6、张贴警示标识；7、按期发放劳保用品并检查正确穿戴情况；8安装环保设备，在厂房内无组织排放；9厂房隔声，配套消音器、基础减震；10员工带口罩、耳塞.公司共计投入5万元启动资金用于安全防护。由综合部负责管理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查看《消防器材更新维护记录》、《劳保用品领用登记表》、《企业环境安全大检查记录表》记录完善。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近一年无工伤发生；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查到公司为员工缴纳了养老、工伤、医疗等保险。提供了缴纳保险的</w:t>
            </w:r>
            <w:r>
              <w:rPr>
                <w:rFonts w:hint="eastAsia"/>
                <w:sz w:val="21"/>
                <w:szCs w:val="21"/>
              </w:rPr>
              <w:t>票据及社会保险在职人员信息统计表。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现场查看办公区域配备有符合要求的灭火器，办公室设备、电器状态良好，无安全隐患。</w:t>
            </w:r>
          </w:p>
          <w:p>
            <w:pPr>
              <w:pStyle w:val="2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无外包过程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查采购清单：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1、嘉特螺丝五金批发部（供应：螺栓、螺丝、铁丝等）；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2、长葛市振轩钢材 （供应：角铁、角钢、方管等）                                      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3、亚东机电总汇（焊条、焊丝）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4、多乐士油漆商行（油漆）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5、钰全五金商行（五金、铁丝、劳保用品等）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供方：长葛市振轩钢材销售    2019年10月19日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采购物资：钢材7.5# 5# 4#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订单明确产品名称、型号、数量、单价、违约等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2、供方：太和北方吴其钢材批发部   2019年10月23日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采购物资：角铁 扁铁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订单明确产品名称、型号、数量、单价、违约等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3、供方：嘉特螺丝五金批发  2020年3月6日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采购物资：螺栓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订单明确产品名称、型号、数量、单价、违约等</w:t>
            </w:r>
          </w:p>
          <w:p>
            <w:pPr>
              <w:pStyle w:val="2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供应商资质齐全，在有效期内。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--《供方评价表》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 xml:space="preserve"> 2020年3月1日供方确认：</w:t>
            </w:r>
          </w:p>
          <w:p>
            <w:pPr>
              <w:pStyle w:val="2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 xml:space="preserve">嘉特螺丝五金批发部组织各部门对该供方的资质、产品质量、诚信度、送货及时度、服务等进行了评价，有各部门评价人签字。调查评价：合格  评价人：张伟 </w:t>
            </w: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656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应急准备和响应</w:t>
            </w:r>
          </w:p>
        </w:tc>
        <w:tc>
          <w:tcPr>
            <w:tcW w:w="1269" w:type="dxa"/>
            <w:vAlign w:val="top"/>
          </w:tcPr>
          <w:p>
            <w:pPr>
              <w:spacing w:line="280" w:lineRule="exac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O 8.2</w:t>
            </w:r>
          </w:p>
        </w:tc>
        <w:tc>
          <w:tcPr>
            <w:tcW w:w="10947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制定了《</w:t>
            </w:r>
            <w:r>
              <w:rPr>
                <w:rFonts w:hint="eastAsia" w:ascii="宋体" w:hAnsi="宋体"/>
                <w:iCs/>
                <w:sz w:val="21"/>
                <w:szCs w:val="21"/>
              </w:rPr>
              <w:t>应急准备和响应控制程序</w:t>
            </w: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》，包含有事件级别及不同级别事件的处理程序、事件处理组织机构及职责分工、通用及特殊处理程序、各岗位要求等。具有可操作性。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查到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《安全生产应急预案》，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成立应急指挥小组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成员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组长：丁荟荟，电话：18956670788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副组长：张伟，电话：18956626653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成 员：张青、杨丽萍、高怀亮、李成斌等员工。</w:t>
            </w:r>
          </w:p>
          <w:p>
            <w:pPr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应急预案不重要修订。</w:t>
            </w: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自体系运行以来尚未发生紧急情况。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查看《应急预案演练记录》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张伟</w:t>
            </w:r>
            <w:r>
              <w:rPr>
                <w:rFonts w:hint="eastAsia"/>
                <w:bCs/>
                <w:sz w:val="21"/>
                <w:szCs w:val="21"/>
              </w:rPr>
              <w:t xml:space="preserve">  审核：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丁荟荟</w:t>
            </w:r>
            <w:r>
              <w:rPr>
                <w:rFonts w:hint="eastAsia"/>
                <w:bCs/>
                <w:sz w:val="21"/>
                <w:szCs w:val="21"/>
              </w:rPr>
              <w:t xml:space="preserve"> 日期：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2019年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日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进行“火灾消防应急预案演练”，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演练程序：报警、警戒、疏散、急救预演、器材使用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预案不足：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、演练程序部分员工不太清楚；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、个人防护需求无人提及；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、员工对风险危害的识别能力有待提高；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、个别部门缺席演练，且未制定替代人，演练重视程度不够。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改进措施：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、预案前的准备工作即基础教育工作需进一步加强；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、演练纪律性方面对装备部及经营部仓库提出批评；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、管理部门加强MSDS信息搜集工作及风险识别工作。</w:t>
            </w: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r>
        <w:ptab w:relativeTo="margin" w:alignment="center" w:leader="none"/>
      </w: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</w:rPr>
      <w:t xml:space="preserve">        </w:t>
    </w:r>
    <w:r>
      <w:rPr>
        <w:rStyle w:val="15"/>
        <w:rFonts w:hint="default"/>
        <w:w w:val="90"/>
      </w:rPr>
      <w:t>Beijing International Standard united Certification Co.,Ltd.</w:t>
    </w:r>
    <w:r>
      <w:rPr>
        <w:rStyle w:val="15"/>
        <w:rFonts w:hint="default"/>
        <w:w w:val="90"/>
        <w:szCs w:val="21"/>
      </w:rPr>
      <w:t xml:space="preserve">  </w:t>
    </w:r>
    <w:r>
      <w:rPr>
        <w:rStyle w:val="15"/>
        <w:rFonts w:hint="default"/>
        <w:w w:val="90"/>
        <w:sz w:val="20"/>
      </w:rPr>
      <w:t xml:space="preserve"> </w:t>
    </w:r>
    <w:r>
      <w:rPr>
        <w:rStyle w:val="15"/>
        <w:rFonts w:hint="default"/>
        <w:w w:val="90"/>
      </w:rPr>
      <w:t xml:space="preserve">                   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337922"/>
    <w:rsid w:val="00340867"/>
    <w:rsid w:val="00380837"/>
    <w:rsid w:val="003A198A"/>
    <w:rsid w:val="00410914"/>
    <w:rsid w:val="004911A3"/>
    <w:rsid w:val="00536930"/>
    <w:rsid w:val="00564E53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F0AAB"/>
    <w:rsid w:val="00BF597E"/>
    <w:rsid w:val="00C51A36"/>
    <w:rsid w:val="00C55228"/>
    <w:rsid w:val="00CE315A"/>
    <w:rsid w:val="00D06F59"/>
    <w:rsid w:val="00D8388C"/>
    <w:rsid w:val="00EB0164"/>
    <w:rsid w:val="00ED0F62"/>
    <w:rsid w:val="00FC5A98"/>
    <w:rsid w:val="01700A1F"/>
    <w:rsid w:val="02320294"/>
    <w:rsid w:val="026A761D"/>
    <w:rsid w:val="03097F8F"/>
    <w:rsid w:val="03C158C3"/>
    <w:rsid w:val="03EE3AEF"/>
    <w:rsid w:val="044D3BF2"/>
    <w:rsid w:val="05AB5A66"/>
    <w:rsid w:val="05EE146B"/>
    <w:rsid w:val="06085B28"/>
    <w:rsid w:val="06A27700"/>
    <w:rsid w:val="070746B2"/>
    <w:rsid w:val="08121331"/>
    <w:rsid w:val="08BF3AED"/>
    <w:rsid w:val="0CA54228"/>
    <w:rsid w:val="0CB71131"/>
    <w:rsid w:val="0CB80D72"/>
    <w:rsid w:val="0E1556EC"/>
    <w:rsid w:val="0E9A3732"/>
    <w:rsid w:val="0EBD645D"/>
    <w:rsid w:val="0ECC1CD0"/>
    <w:rsid w:val="0EED0A6D"/>
    <w:rsid w:val="0F4A24B1"/>
    <w:rsid w:val="0F834948"/>
    <w:rsid w:val="106E4F62"/>
    <w:rsid w:val="108219C2"/>
    <w:rsid w:val="127C0884"/>
    <w:rsid w:val="127E6F4E"/>
    <w:rsid w:val="13070F9C"/>
    <w:rsid w:val="13937400"/>
    <w:rsid w:val="13B32E43"/>
    <w:rsid w:val="13E03628"/>
    <w:rsid w:val="13E21228"/>
    <w:rsid w:val="14083AFA"/>
    <w:rsid w:val="157E6280"/>
    <w:rsid w:val="15A303A1"/>
    <w:rsid w:val="16405DBE"/>
    <w:rsid w:val="17375D6B"/>
    <w:rsid w:val="174F7EB6"/>
    <w:rsid w:val="17E61249"/>
    <w:rsid w:val="17ED4878"/>
    <w:rsid w:val="183E4AD4"/>
    <w:rsid w:val="185C1D51"/>
    <w:rsid w:val="197658FE"/>
    <w:rsid w:val="19CD0B20"/>
    <w:rsid w:val="1A084F58"/>
    <w:rsid w:val="1A1C2983"/>
    <w:rsid w:val="1AC421C4"/>
    <w:rsid w:val="1B0C37B9"/>
    <w:rsid w:val="1B1A539F"/>
    <w:rsid w:val="1CD86067"/>
    <w:rsid w:val="1D6F2010"/>
    <w:rsid w:val="1EED3319"/>
    <w:rsid w:val="1F310F57"/>
    <w:rsid w:val="20E91694"/>
    <w:rsid w:val="22B03105"/>
    <w:rsid w:val="22C76E54"/>
    <w:rsid w:val="23A90D6C"/>
    <w:rsid w:val="26DF0BE0"/>
    <w:rsid w:val="279236D1"/>
    <w:rsid w:val="2898019B"/>
    <w:rsid w:val="28AF03D1"/>
    <w:rsid w:val="28D43129"/>
    <w:rsid w:val="28DE357E"/>
    <w:rsid w:val="2AEE4149"/>
    <w:rsid w:val="2C3F6B85"/>
    <w:rsid w:val="2C657F2F"/>
    <w:rsid w:val="2D726C52"/>
    <w:rsid w:val="2E7A25BA"/>
    <w:rsid w:val="2EF72413"/>
    <w:rsid w:val="2F9E49DE"/>
    <w:rsid w:val="2FA93088"/>
    <w:rsid w:val="2FCA3D2E"/>
    <w:rsid w:val="2FDB118D"/>
    <w:rsid w:val="301503AB"/>
    <w:rsid w:val="30F11502"/>
    <w:rsid w:val="325E6175"/>
    <w:rsid w:val="32AB4D7B"/>
    <w:rsid w:val="34182198"/>
    <w:rsid w:val="364D7E25"/>
    <w:rsid w:val="37BC647C"/>
    <w:rsid w:val="383A5CE5"/>
    <w:rsid w:val="38D218EE"/>
    <w:rsid w:val="39620650"/>
    <w:rsid w:val="3A8F5907"/>
    <w:rsid w:val="3B4D71AC"/>
    <w:rsid w:val="3B8A40ED"/>
    <w:rsid w:val="3C2033E1"/>
    <w:rsid w:val="3EB55B1E"/>
    <w:rsid w:val="3F5852D2"/>
    <w:rsid w:val="3FD81520"/>
    <w:rsid w:val="40E9016E"/>
    <w:rsid w:val="41E27BBE"/>
    <w:rsid w:val="421B1AE2"/>
    <w:rsid w:val="429F6852"/>
    <w:rsid w:val="43007ABB"/>
    <w:rsid w:val="44801FF5"/>
    <w:rsid w:val="44CE3024"/>
    <w:rsid w:val="44D54B0B"/>
    <w:rsid w:val="45634EB0"/>
    <w:rsid w:val="457A5192"/>
    <w:rsid w:val="4922441A"/>
    <w:rsid w:val="4AAE6C5D"/>
    <w:rsid w:val="4AB442D2"/>
    <w:rsid w:val="4AD13D3E"/>
    <w:rsid w:val="4BE173AE"/>
    <w:rsid w:val="4C542AFE"/>
    <w:rsid w:val="4D2115BA"/>
    <w:rsid w:val="4DD461B7"/>
    <w:rsid w:val="4EA4309E"/>
    <w:rsid w:val="4EDE0A1E"/>
    <w:rsid w:val="50080A3B"/>
    <w:rsid w:val="519A380E"/>
    <w:rsid w:val="52276856"/>
    <w:rsid w:val="527201F3"/>
    <w:rsid w:val="52C647A7"/>
    <w:rsid w:val="52D034C9"/>
    <w:rsid w:val="53681C67"/>
    <w:rsid w:val="53DB5EEE"/>
    <w:rsid w:val="54DA6ED0"/>
    <w:rsid w:val="559E18D7"/>
    <w:rsid w:val="564B3B4B"/>
    <w:rsid w:val="5794697E"/>
    <w:rsid w:val="57C261E2"/>
    <w:rsid w:val="58364B3B"/>
    <w:rsid w:val="583D2730"/>
    <w:rsid w:val="59B51302"/>
    <w:rsid w:val="5ACE1865"/>
    <w:rsid w:val="5BED5ECF"/>
    <w:rsid w:val="5C324B6E"/>
    <w:rsid w:val="5C983C73"/>
    <w:rsid w:val="5C9D0C90"/>
    <w:rsid w:val="5E4A2A4D"/>
    <w:rsid w:val="5EA12B9A"/>
    <w:rsid w:val="5EEB373D"/>
    <w:rsid w:val="5F787693"/>
    <w:rsid w:val="622B2A10"/>
    <w:rsid w:val="62A975E6"/>
    <w:rsid w:val="63525E02"/>
    <w:rsid w:val="64636355"/>
    <w:rsid w:val="67796626"/>
    <w:rsid w:val="67DA78D8"/>
    <w:rsid w:val="68890868"/>
    <w:rsid w:val="68CB25BD"/>
    <w:rsid w:val="692010FA"/>
    <w:rsid w:val="699957B8"/>
    <w:rsid w:val="69BD7669"/>
    <w:rsid w:val="6B7733B3"/>
    <w:rsid w:val="6C063ACC"/>
    <w:rsid w:val="6C8068EF"/>
    <w:rsid w:val="6D6B3AF8"/>
    <w:rsid w:val="6D925C6C"/>
    <w:rsid w:val="6DC4767F"/>
    <w:rsid w:val="6E025ED1"/>
    <w:rsid w:val="6E373AB8"/>
    <w:rsid w:val="6E4253DB"/>
    <w:rsid w:val="6EE23F88"/>
    <w:rsid w:val="6F1D7201"/>
    <w:rsid w:val="70BD4579"/>
    <w:rsid w:val="7106307D"/>
    <w:rsid w:val="71431F5E"/>
    <w:rsid w:val="71772E88"/>
    <w:rsid w:val="71A54DCA"/>
    <w:rsid w:val="736B0691"/>
    <w:rsid w:val="746E2276"/>
    <w:rsid w:val="74E67290"/>
    <w:rsid w:val="7505395A"/>
    <w:rsid w:val="764A3BAD"/>
    <w:rsid w:val="76A61C78"/>
    <w:rsid w:val="77443805"/>
    <w:rsid w:val="79F644BC"/>
    <w:rsid w:val="7A4D0A5B"/>
    <w:rsid w:val="7A715CAF"/>
    <w:rsid w:val="7B110D85"/>
    <w:rsid w:val="7B132209"/>
    <w:rsid w:val="7C0A479B"/>
    <w:rsid w:val="7C0D2B38"/>
    <w:rsid w:val="7CD56D1D"/>
    <w:rsid w:val="7CEA10C5"/>
    <w:rsid w:val="7D58139C"/>
    <w:rsid w:val="7E0C57DA"/>
    <w:rsid w:val="7E522F2D"/>
    <w:rsid w:val="7E7A7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firstLine="420" w:firstLineChars="200"/>
      <w:jc w:val="left"/>
    </w:pPr>
    <w:rPr>
      <w:rFonts w:eastAsia="仿宋_GB2312"/>
      <w:color w:val="000000"/>
    </w:rPr>
  </w:style>
  <w:style w:type="character" w:styleId="11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17">
    <w:name w:val="标准正文"/>
    <w:basedOn w:val="1"/>
    <w:qFormat/>
    <w:uiPriority w:val="0"/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</cp:lastModifiedBy>
  <dcterms:modified xsi:type="dcterms:W3CDTF">2020-04-11T03:48:14Z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