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0096-2020-QE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河北尧博水泵制造有限公司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jc w:val="center"/>
              <w:rPr>
                <w:sz w:val="20"/>
              </w:rPr>
            </w:pPr>
            <w:r>
              <w:rPr>
                <w:sz w:val="20"/>
              </w:rPr>
              <w:t>2019-N1QMS-3022240</w:t>
            </w:r>
          </w:p>
          <w:p>
            <w:pPr>
              <w:spacing w:line="240" w:lineRule="exact"/>
              <w:jc w:val="center"/>
              <w:rPr>
                <w:b/>
                <w:color w:val="000000"/>
                <w:sz w:val="20"/>
                <w:szCs w:val="20"/>
              </w:rPr>
            </w:pPr>
            <w:r>
              <w:rPr>
                <w:sz w:val="20"/>
              </w:rPr>
              <w:t>2020-N1EMS-3022240</w:t>
            </w:r>
          </w:p>
        </w:tc>
        <w:tc>
          <w:tcPr>
            <w:tcW w:w="2179" w:type="dxa"/>
            <w:gridSpan w:val="2"/>
            <w:vAlign w:val="center"/>
          </w:tcPr>
          <w:p>
            <w:pPr>
              <w:spacing w:line="240" w:lineRule="exact"/>
              <w:jc w:val="center"/>
              <w:rPr>
                <w:b/>
                <w:color w:val="000000"/>
                <w:sz w:val="20"/>
                <w:szCs w:val="20"/>
              </w:rPr>
            </w:pPr>
            <w:r>
              <w:rPr>
                <w:b/>
                <w:color w:val="000000"/>
                <w:sz w:val="20"/>
                <w:szCs w:val="20"/>
              </w:rPr>
              <w:t>Q:18.01.03</w:t>
            </w:r>
          </w:p>
          <w:p>
            <w:pPr>
              <w:spacing w:line="240" w:lineRule="exact"/>
              <w:jc w:val="center"/>
              <w:rPr>
                <w:b/>
                <w:color w:val="000000"/>
                <w:sz w:val="20"/>
                <w:szCs w:val="20"/>
              </w:rPr>
            </w:pPr>
            <w:r>
              <w:rPr>
                <w:b/>
                <w:color w:val="000000"/>
                <w:sz w:val="20"/>
                <w:szCs w:val="20"/>
              </w:rPr>
              <w:t>E:18.01.03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三、审核准则</w:t>
      </w:r>
    </w:p>
    <w:p>
      <w:pPr>
        <w:tabs>
          <w:tab w:val="left" w:pos="645"/>
        </w:tabs>
        <w:ind w:firstLine="422" w:firstLineChars="200"/>
        <w:rPr>
          <w:b/>
          <w:sz w:val="21"/>
          <w:szCs w:val="21"/>
        </w:rPr>
      </w:pPr>
      <w:r>
        <w:rPr>
          <w:rFonts w:hint="eastAsia"/>
          <w:b/>
          <w:sz w:val="21"/>
          <w:szCs w:val="21"/>
        </w:rPr>
        <w:t>■ GB/T 19001:2016 idt ISO 9001:2015标准</w:t>
      </w:r>
      <w:r>
        <w:rPr>
          <w:rFonts w:hint="eastAsia"/>
          <w:b/>
          <w:sz w:val="21"/>
          <w:szCs w:val="21"/>
          <w:lang w:eastAsia="zh-CN"/>
        </w:rPr>
        <w:t>，</w:t>
      </w:r>
      <w:r>
        <w:rPr>
          <w:rFonts w:hint="eastAsia"/>
          <w:b/>
          <w:sz w:val="21"/>
          <w:szCs w:val="21"/>
        </w:rPr>
        <w:t>不适用条款:</w:t>
      </w:r>
      <w:r>
        <w:rPr>
          <w:rFonts w:hint="eastAsia"/>
          <w:b/>
          <w:sz w:val="21"/>
          <w:szCs w:val="21"/>
          <w:lang w:val="en-US" w:eastAsia="zh-CN"/>
        </w:rPr>
        <w:t>8.3</w:t>
      </w:r>
      <w:r>
        <w:rPr>
          <w:rFonts w:hint="eastAsia"/>
          <w:b/>
          <w:sz w:val="21"/>
          <w:szCs w:val="21"/>
        </w:rPr>
        <w:t xml:space="preserve"> </w:t>
      </w:r>
    </w:p>
    <w:p>
      <w:pPr>
        <w:tabs>
          <w:tab w:val="left" w:pos="645"/>
        </w:tabs>
        <w:ind w:firstLine="422" w:firstLineChars="200"/>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ind w:firstLine="422" w:firstLineChars="200"/>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ind w:firstLine="422" w:firstLineChars="200"/>
        <w:rPr>
          <w:b/>
          <w:sz w:val="21"/>
          <w:szCs w:val="21"/>
        </w:rPr>
      </w:pPr>
      <w:r>
        <w:rPr>
          <w:rFonts w:hint="eastAsia"/>
          <w:b/>
          <w:sz w:val="21"/>
          <w:szCs w:val="21"/>
        </w:rPr>
        <w:t>□ ISO45001：2018标准</w:t>
      </w:r>
    </w:p>
    <w:p>
      <w:pPr>
        <w:spacing w:line="300" w:lineRule="auto"/>
        <w:ind w:left="420" w:leftChars="200"/>
        <w:rPr>
          <w:rFonts w:ascii="宋体"/>
          <w:b/>
          <w:color w:val="000000"/>
          <w:sz w:val="20"/>
          <w:szCs w:val="20"/>
          <w:lang w:val="de-DE"/>
        </w:rPr>
      </w:pPr>
      <w:r>
        <w:rPr>
          <w:rFonts w:hint="eastAsia"/>
          <w:b/>
          <w:sz w:val="21"/>
          <w:szCs w:val="21"/>
        </w:rPr>
        <w:t>■受审核方管理体系文件■适用的法律法规■认证合同</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143"/>
        <w:gridCol w:w="1463"/>
        <w:gridCol w:w="2321"/>
        <w:gridCol w:w="75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586"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8" w:name="组织名称Add2"/>
            <w:r>
              <w:rPr>
                <w:rFonts w:ascii="宋体"/>
                <w:b/>
                <w:color w:val="000000"/>
                <w:sz w:val="20"/>
                <w:szCs w:val="20"/>
              </w:rPr>
              <w:t>河北尧博水泵制造有限公司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927"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9" w:name="注册地址"/>
            <w:r>
              <w:rPr>
                <w:rFonts w:ascii="宋体"/>
                <w:b/>
                <w:color w:val="000000"/>
                <w:sz w:val="20"/>
                <w:szCs w:val="20"/>
              </w:rPr>
              <w:t>河北省邯郸市经济开发区世纪大街9号（华鼎传动机械院内）二号厂房</w:t>
            </w:r>
            <w:bookmarkEnd w:id="9"/>
          </w:p>
        </w:tc>
        <w:tc>
          <w:tcPr>
            <w:tcW w:w="75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rPr>
              <w:t>邮编</w:t>
            </w:r>
          </w:p>
        </w:tc>
        <w:tc>
          <w:tcPr>
            <w:tcW w:w="1904"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0" w:name="注册邮编"/>
            <w:r>
              <w:rPr>
                <w:rFonts w:ascii="宋体"/>
                <w:b/>
                <w:color w:val="000000"/>
                <w:sz w:val="20"/>
                <w:szCs w:val="20"/>
              </w:rPr>
              <w:t>056001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927"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1" w:name="经营地址"/>
            <w:bookmarkEnd w:id="11"/>
            <w:r>
              <w:rPr>
                <w:rFonts w:ascii="宋体"/>
                <w:b/>
                <w:color w:val="000000"/>
                <w:sz w:val="20"/>
                <w:szCs w:val="20"/>
              </w:rPr>
              <w:t>河北省邯郸市经济开发区世纪大街9号（华鼎传动机械院内）二号厂房</w:t>
            </w:r>
          </w:p>
        </w:tc>
        <w:tc>
          <w:tcPr>
            <w:tcW w:w="75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p>
        </w:tc>
        <w:tc>
          <w:tcPr>
            <w:tcW w:w="1904"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2" w:name="经营邮编"/>
            <w:bookmarkEnd w:id="12"/>
            <w:r>
              <w:rPr>
                <w:rFonts w:ascii="宋体"/>
                <w:b/>
                <w:color w:val="000000"/>
                <w:sz w:val="20"/>
                <w:szCs w:val="20"/>
              </w:rPr>
              <w:t>056001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生产地址</w:t>
            </w:r>
          </w:p>
        </w:tc>
        <w:tc>
          <w:tcPr>
            <w:tcW w:w="4927"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3" w:name="生产地址Add1"/>
            <w:r>
              <w:rPr>
                <w:rFonts w:ascii="宋体"/>
                <w:b/>
                <w:color w:val="000000"/>
                <w:sz w:val="20"/>
                <w:szCs w:val="20"/>
              </w:rPr>
              <w:t>河北省邯郸市经济开发区世纪大街9号（华鼎传动机械院内）二号厂房</w:t>
            </w:r>
            <w:bookmarkEnd w:id="13"/>
          </w:p>
        </w:tc>
        <w:tc>
          <w:tcPr>
            <w:tcW w:w="75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p>
        </w:tc>
        <w:tc>
          <w:tcPr>
            <w:tcW w:w="1904"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4" w:name="生产邮编Add1"/>
            <w:r>
              <w:rPr>
                <w:rFonts w:ascii="宋体"/>
                <w:b/>
                <w:color w:val="000000"/>
                <w:sz w:val="20"/>
                <w:szCs w:val="20"/>
              </w:rPr>
              <w:t>056001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14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5" w:name="联系人Add1"/>
            <w:r>
              <w:rPr>
                <w:rFonts w:ascii="宋体"/>
                <w:b/>
                <w:color w:val="000000"/>
                <w:sz w:val="20"/>
                <w:szCs w:val="20"/>
              </w:rPr>
              <w:t>田晓辉</w:t>
            </w:r>
            <w:bookmarkEnd w:id="15"/>
          </w:p>
        </w:tc>
        <w:tc>
          <w:tcPr>
            <w:tcW w:w="146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rPr>
              <w:t>电话</w:t>
            </w:r>
          </w:p>
        </w:tc>
        <w:tc>
          <w:tcPr>
            <w:tcW w:w="2321"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6" w:name="联系人电话Add1"/>
            <w:r>
              <w:rPr>
                <w:rFonts w:ascii="宋体"/>
                <w:b/>
                <w:color w:val="000000"/>
                <w:sz w:val="20"/>
                <w:szCs w:val="20"/>
              </w:rPr>
              <w:t>15632000078</w:t>
            </w:r>
            <w:bookmarkEnd w:id="16"/>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rPr>
              <w:t>传真</w:t>
            </w:r>
          </w:p>
        </w:tc>
        <w:tc>
          <w:tcPr>
            <w:tcW w:w="1904"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7" w:name="联系人传真Add1"/>
            <w:bookmarkEnd w:id="17"/>
            <w:r>
              <w:rPr>
                <w:rFonts w:hint="eastAsia"/>
                <w:b w:val="0"/>
                <w:bCs w:val="0"/>
                <w:sz w:val="21"/>
                <w:szCs w:val="21"/>
              </w:rPr>
              <w:t>0310-3280834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14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8" w:name="法人"/>
            <w:r>
              <w:rPr>
                <w:rFonts w:ascii="宋体"/>
                <w:b/>
                <w:color w:val="000000"/>
                <w:sz w:val="20"/>
                <w:szCs w:val="20"/>
              </w:rPr>
              <w:t>田富有</w:t>
            </w:r>
            <w:bookmarkEnd w:id="18"/>
          </w:p>
        </w:tc>
        <w:tc>
          <w:tcPr>
            <w:tcW w:w="1463"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2321"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19" w:name="管理者代表"/>
            <w:r>
              <w:rPr>
                <w:rFonts w:ascii="宋体"/>
                <w:b/>
                <w:color w:val="000000"/>
                <w:sz w:val="20"/>
                <w:szCs w:val="20"/>
              </w:rPr>
              <w:t>田晓辉</w:t>
            </w:r>
            <w:bookmarkEnd w:id="19"/>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b/>
                <w:color w:val="000000"/>
                <w:sz w:val="20"/>
                <w:szCs w:val="20"/>
              </w:rPr>
              <w:t>邮箱</w:t>
            </w:r>
          </w:p>
        </w:tc>
        <w:tc>
          <w:tcPr>
            <w:tcW w:w="1904"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20" w:name="联系人邮箱Add1"/>
            <w:bookmarkEnd w:id="20"/>
            <w:r>
              <w:rPr>
                <w:rFonts w:hint="eastAsia"/>
                <w:b w:val="0"/>
                <w:bCs w:val="0"/>
                <w:sz w:val="21"/>
                <w:szCs w:val="21"/>
              </w:rPr>
              <w:t>samtxh@163.com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586"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2019年9月27日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586"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u w:val="single"/>
              </w:rPr>
            </w:pPr>
            <w:bookmarkStart w:id="21" w:name="审核范围"/>
            <w:r>
              <w:rPr>
                <w:rFonts w:ascii="宋体" w:hAnsi="宋体"/>
                <w:b/>
                <w:color w:val="000000"/>
                <w:sz w:val="20"/>
                <w:szCs w:val="20"/>
              </w:rPr>
              <w:t>Q：水泵及配件的组装生产及销售</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hAnsi="宋体"/>
                <w:b/>
                <w:color w:val="000000"/>
                <w:sz w:val="20"/>
                <w:szCs w:val="20"/>
              </w:rPr>
            </w:pPr>
            <w:r>
              <w:rPr>
                <w:rFonts w:ascii="宋体" w:hAnsi="宋体"/>
                <w:b/>
                <w:color w:val="000000"/>
                <w:sz w:val="20"/>
                <w:szCs w:val="20"/>
              </w:rPr>
              <w:t>E：水泵及配件的组装生产及销售所涉及的环境管理活动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586"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bookmarkStart w:id="22" w:name="专业代码"/>
            <w:r>
              <w:rPr>
                <w:rFonts w:ascii="宋体"/>
                <w:b/>
                <w:color w:val="000000"/>
                <w:sz w:val="20"/>
                <w:szCs w:val="20"/>
              </w:rPr>
              <w:t>Q：18.01.03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ascii="宋体"/>
                <w:b/>
                <w:color w:val="000000"/>
                <w:sz w:val="20"/>
                <w:szCs w:val="20"/>
              </w:rPr>
              <w:t>E：18.01.03</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74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586"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361" w:leftChars="172" w:firstLine="1194" w:firstLineChars="597"/>
              <w:jc w:val="both"/>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168" w:leftChars="80"/>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p>
        </w:tc>
        <w:tc>
          <w:tcPr>
            <w:tcW w:w="59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168" w:leftChars="80"/>
              <w:jc w:val="both"/>
              <w:textAlignment w:val="auto"/>
              <w:rPr>
                <w:rFonts w:ascii="宋体"/>
                <w:color w:val="000000"/>
                <w:spacing w:val="-10"/>
                <w:sz w:val="20"/>
                <w:szCs w:val="20"/>
              </w:rPr>
            </w:pPr>
          </w:p>
        </w:tc>
        <w:tc>
          <w:tcPr>
            <w:tcW w:w="5944" w:type="dxa"/>
            <w:gridSpan w:val="3"/>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168" w:leftChars="80"/>
              <w:jc w:val="both"/>
              <w:textAlignment w:val="auto"/>
              <w:rPr>
                <w:rFonts w:ascii="宋体"/>
                <w:color w:val="000000"/>
                <w:spacing w:val="-10"/>
                <w:sz w:val="20"/>
                <w:szCs w:val="20"/>
              </w:rPr>
            </w:pPr>
          </w:p>
        </w:tc>
        <w:tc>
          <w:tcPr>
            <w:tcW w:w="5944" w:type="dxa"/>
            <w:gridSpan w:val="3"/>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p>
        </w:tc>
        <w:tc>
          <w:tcPr>
            <w:tcW w:w="5954" w:type="dxa"/>
            <w:gridSpan w:val="4"/>
            <w:vAlign w:val="center"/>
          </w:tcPr>
          <w:p>
            <w:pPr>
              <w:keepNext w:val="0"/>
              <w:keepLines w:val="0"/>
              <w:pageBreakBefore w:val="0"/>
              <w:widowControl w:val="0"/>
              <w:tabs>
                <w:tab w:val="left" w:pos="430"/>
              </w:tabs>
              <w:kinsoku/>
              <w:wordWrap/>
              <w:overflowPunct/>
              <w:topLinePunct w:val="0"/>
              <w:autoSpaceDE/>
              <w:autoSpaceDN/>
              <w:bidi w:val="0"/>
              <w:adjustRightInd/>
              <w:snapToGrid/>
              <w:spacing w:line="240" w:lineRule="exact"/>
              <w:ind w:left="400" w:hanging="400" w:hangingChars="200"/>
              <w:jc w:val="both"/>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4" w:leftChars="-21" w:hanging="40" w:hangingChars="20"/>
              <w:jc w:val="both"/>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300" w:hangingChars="150"/>
              <w:jc w:val="both"/>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4" w:leftChars="-21" w:hanging="40" w:hangingChars="20"/>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185" w:leftChars="88"/>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185" w:leftChars="88"/>
              <w:jc w:val="both"/>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pacing w:val="-10"/>
                <w:sz w:val="20"/>
                <w:szCs w:val="20"/>
              </w:rPr>
            </w:pP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网络视频、电话等方式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vAlign w:val="center"/>
          </w:tcPr>
          <w:p>
            <w:pPr>
              <w:tabs>
                <w:tab w:val="left" w:pos="360"/>
              </w:tabs>
              <w:ind w:left="360" w:hanging="360"/>
              <w:jc w:val="both"/>
              <w:rPr>
                <w:rFonts w:ascii="宋体"/>
                <w:b w:val="0"/>
                <w:bCs/>
                <w:color w:val="000000"/>
                <w:sz w:val="20"/>
                <w:szCs w:val="20"/>
              </w:rPr>
            </w:pPr>
            <w:r>
              <w:rPr>
                <w:rFonts w:hint="eastAsia" w:ascii="宋体" w:hAnsi="宋体"/>
                <w:b w:val="0"/>
                <w:bCs/>
                <w:color w:val="000000"/>
                <w:sz w:val="20"/>
                <w:szCs w:val="20"/>
              </w:rPr>
              <w:t>受审核方产品</w:t>
            </w:r>
            <w:r>
              <w:rPr>
                <w:rFonts w:ascii="宋体" w:hAnsi="宋体"/>
                <w:b w:val="0"/>
                <w:bCs/>
                <w:color w:val="000000"/>
                <w:sz w:val="20"/>
                <w:szCs w:val="20"/>
              </w:rPr>
              <w:t>/</w:t>
            </w:r>
            <w:r>
              <w:rPr>
                <w:rFonts w:hint="eastAsia" w:ascii="宋体" w:hAnsi="宋体"/>
                <w:b w:val="0"/>
                <w:bCs/>
                <w:color w:val="000000"/>
                <w:sz w:val="20"/>
                <w:szCs w:val="20"/>
              </w:rPr>
              <w:t>服务</w:t>
            </w:r>
          </w:p>
        </w:tc>
        <w:tc>
          <w:tcPr>
            <w:tcW w:w="6378" w:type="dxa"/>
          </w:tcPr>
          <w:p>
            <w:pPr>
              <w:tabs>
                <w:tab w:val="left" w:pos="360"/>
              </w:tabs>
              <w:rPr>
                <w:rFonts w:ascii="宋体"/>
                <w:b/>
                <w:color w:val="000000"/>
                <w:sz w:val="20"/>
                <w:szCs w:val="20"/>
              </w:rPr>
            </w:pPr>
            <w:r>
              <w:rPr>
                <w:rFonts w:hint="eastAsia"/>
                <w:szCs w:val="21"/>
              </w:rPr>
              <w:t>水泵配件（叶轮，泵轴，泵头，轴套，护套，轴承体，机封体，填料体）的加工销售及水泵销售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vAlign w:val="center"/>
          </w:tcPr>
          <w:p>
            <w:pPr>
              <w:tabs>
                <w:tab w:val="left" w:pos="360"/>
              </w:tabs>
              <w:ind w:left="360" w:hanging="360"/>
              <w:jc w:val="both"/>
              <w:rPr>
                <w:rFonts w:ascii="宋体"/>
                <w:b w:val="0"/>
                <w:bCs/>
                <w:color w:val="000000"/>
                <w:sz w:val="20"/>
                <w:szCs w:val="20"/>
              </w:rPr>
            </w:pPr>
            <w:r>
              <w:rPr>
                <w:rFonts w:hint="eastAsia" w:ascii="宋体" w:hAnsi="宋体"/>
                <w:b w:val="0"/>
                <w:bCs/>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综合部、生产部、质检部、销售部、财务部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邯郸市经济开发区世纪大街9号（华鼎传动机械院内）二号厂房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vAlign w:val="center"/>
          </w:tcPr>
          <w:p>
            <w:pPr>
              <w:tabs>
                <w:tab w:val="left" w:pos="360"/>
              </w:tabs>
              <w:ind w:left="360" w:hanging="360"/>
              <w:jc w:val="both"/>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vAlign w:val="center"/>
          </w:tcPr>
          <w:p>
            <w:pPr>
              <w:tabs>
                <w:tab w:val="left" w:pos="360"/>
              </w:tabs>
              <w:ind w:left="360" w:hanging="360"/>
              <w:jc w:val="both"/>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vAlign w:val="center"/>
          </w:tcPr>
          <w:p>
            <w:pPr>
              <w:tabs>
                <w:tab w:val="left" w:pos="360"/>
              </w:tabs>
              <w:ind w:left="360" w:hanging="360"/>
              <w:jc w:val="both"/>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vAlign w:val="center"/>
          </w:tcPr>
          <w:p>
            <w:pPr>
              <w:tabs>
                <w:tab w:val="left" w:pos="0"/>
              </w:tabs>
              <w:jc w:val="both"/>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邯郸市经济开发区世纪大街9号（华鼎传动机械院内）二号厂房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color w:val="000000"/>
                <w:sz w:val="20"/>
                <w:szCs w:val="20"/>
                <w:lang w:val="en-US" w:eastAsia="zh-CN"/>
              </w:rPr>
              <w:t>由</w:t>
            </w:r>
            <w:r>
              <w:rPr>
                <w:b w:val="0"/>
                <w:bCs w:val="0"/>
                <w:sz w:val="21"/>
                <w:szCs w:val="21"/>
              </w:rPr>
              <w:t>水泵及配件的组装生产及销售</w:t>
            </w:r>
            <w:r>
              <w:rPr>
                <w:rFonts w:hint="eastAsia"/>
                <w:b w:val="0"/>
                <w:bCs w:val="0"/>
                <w:sz w:val="21"/>
                <w:szCs w:val="21"/>
                <w:lang w:val="en-US" w:eastAsia="zh-CN"/>
              </w:rPr>
              <w:t>变更为</w:t>
            </w:r>
            <w:r>
              <w:rPr>
                <w:rFonts w:hint="eastAsia"/>
                <w:szCs w:val="21"/>
              </w:rPr>
              <w:t>水泵配件（叶轮，泵轴，泵头，轴套，护套，轴承体，机封体，填料体）的加工销售及水泵销售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GB/T16907-2014；</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jc w:val="both"/>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jc w:val="both"/>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jc w:val="both"/>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jc w:val="both"/>
              <w:rPr>
                <w:rFonts w:hint="eastAsia" w:ascii="宋体"/>
                <w:color w:val="000000"/>
                <w:sz w:val="20"/>
                <w:szCs w:val="20"/>
              </w:rPr>
            </w:pPr>
            <w:r>
              <w:rPr>
                <w:rFonts w:hint="eastAsia" w:ascii="宋体"/>
                <w:color w:val="000000"/>
                <w:sz w:val="20"/>
                <w:szCs w:val="20"/>
              </w:rPr>
              <w:t>水泵配件加工：采购毛坯件-机加工-打磨-检验</w:t>
            </w:r>
          </w:p>
          <w:p>
            <w:pPr>
              <w:jc w:val="both"/>
              <w:rPr>
                <w:rFonts w:ascii="宋体"/>
                <w:color w:val="000000"/>
                <w:sz w:val="20"/>
                <w:szCs w:val="20"/>
              </w:rPr>
            </w:pPr>
            <w:r>
              <w:rPr>
                <w:rFonts w:hint="eastAsia" w:ascii="宋体"/>
                <w:color w:val="000000"/>
                <w:sz w:val="20"/>
                <w:szCs w:val="20"/>
              </w:rPr>
              <w:t>销售：业务洽谈—签订合同—</w:t>
            </w:r>
            <w:r>
              <w:rPr>
                <w:rFonts w:hint="eastAsia" w:ascii="宋体"/>
                <w:color w:val="000000"/>
                <w:sz w:val="20"/>
                <w:szCs w:val="20"/>
                <w:lang w:val="en-US" w:eastAsia="zh-CN"/>
              </w:rPr>
              <w:t>采购</w:t>
            </w:r>
            <w:r>
              <w:rPr>
                <w:rFonts w:hint="eastAsia" w:ascii="宋体"/>
                <w:color w:val="000000"/>
                <w:sz w:val="20"/>
                <w:szCs w:val="20"/>
              </w:rPr>
              <w:t>—产品发送至顾客指定地点—验收—交货—结算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center"/>
          </w:tcPr>
          <w:p>
            <w:pPr>
              <w:jc w:val="both"/>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机加工、业务洽谈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vAlign w:val="center"/>
          </w:tcPr>
          <w:p>
            <w:pPr>
              <w:jc w:val="both"/>
              <w:rPr>
                <w:rFonts w:ascii="宋体"/>
                <w:color w:val="000000"/>
                <w:sz w:val="20"/>
                <w:szCs w:val="20"/>
              </w:rPr>
            </w:pPr>
          </w:p>
        </w:tc>
        <w:tc>
          <w:tcPr>
            <w:tcW w:w="7427" w:type="dxa"/>
            <w:vAlign w:val="center"/>
          </w:tcPr>
          <w:p>
            <w:pPr>
              <w:jc w:val="both"/>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center"/>
          </w:tcPr>
          <w:p>
            <w:pPr>
              <w:jc w:val="both"/>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pacing w:val="-10"/>
                <w:sz w:val="20"/>
                <w:szCs w:val="20"/>
              </w:rPr>
            </w:pPr>
          </w:p>
        </w:tc>
        <w:tc>
          <w:tcPr>
            <w:tcW w:w="7427" w:type="dxa"/>
            <w:vAlign w:val="center"/>
          </w:tcPr>
          <w:p>
            <w:pPr>
              <w:jc w:val="both"/>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center"/>
          </w:tcPr>
          <w:p>
            <w:pPr>
              <w:jc w:val="both"/>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pacing w:val="-10"/>
                <w:sz w:val="20"/>
                <w:szCs w:val="20"/>
              </w:rPr>
            </w:pPr>
          </w:p>
        </w:tc>
        <w:tc>
          <w:tcPr>
            <w:tcW w:w="7427" w:type="dxa"/>
            <w:vAlign w:val="center"/>
          </w:tcPr>
          <w:p>
            <w:pPr>
              <w:jc w:val="both"/>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z w:val="20"/>
                <w:szCs w:val="20"/>
              </w:rPr>
              <w:t>主要设备</w:t>
            </w:r>
          </w:p>
        </w:tc>
        <w:tc>
          <w:tcPr>
            <w:tcW w:w="7427" w:type="dxa"/>
            <w:vAlign w:val="center"/>
          </w:tcPr>
          <w:p>
            <w:pPr>
              <w:jc w:val="both"/>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车床、冲床、磨床、皮锤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z w:val="20"/>
                <w:szCs w:val="20"/>
              </w:rPr>
            </w:pPr>
            <w:r>
              <w:rPr>
                <w:rFonts w:hint="eastAsia" w:ascii="宋体" w:hAnsi="宋体"/>
                <w:color w:val="000000"/>
                <w:sz w:val="20"/>
                <w:szCs w:val="20"/>
              </w:rPr>
              <w:t>主要监视和测量</w:t>
            </w:r>
          </w:p>
          <w:p>
            <w:pPr>
              <w:jc w:val="both"/>
              <w:rPr>
                <w:rFonts w:ascii="宋体"/>
                <w:color w:val="000000"/>
                <w:sz w:val="20"/>
                <w:szCs w:val="20"/>
              </w:rPr>
            </w:pPr>
            <w:r>
              <w:rPr>
                <w:rFonts w:hint="eastAsia" w:ascii="宋体" w:hAnsi="宋体"/>
                <w:color w:val="000000"/>
                <w:sz w:val="20"/>
                <w:szCs w:val="20"/>
              </w:rPr>
              <w:t>设备</w:t>
            </w:r>
          </w:p>
        </w:tc>
        <w:tc>
          <w:tcPr>
            <w:tcW w:w="7427" w:type="dxa"/>
            <w:vAlign w:val="center"/>
          </w:tcPr>
          <w:p>
            <w:pPr>
              <w:jc w:val="both"/>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钢直尺、游标卡尺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 w:val="20"/>
                <w:szCs w:val="20"/>
              </w:rPr>
            </w:pPr>
          </w:p>
        </w:tc>
        <w:tc>
          <w:tcPr>
            <w:tcW w:w="7427" w:type="dxa"/>
            <w:vAlign w:val="center"/>
          </w:tcPr>
          <w:p>
            <w:pPr>
              <w:jc w:val="both"/>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jc w:val="both"/>
              <w:rPr>
                <w:rFonts w:ascii="宋体"/>
                <w:color w:val="000000"/>
                <w:sz w:val="20"/>
                <w:szCs w:val="20"/>
              </w:rPr>
            </w:pPr>
            <w:r>
              <w:rPr>
                <w:rFonts w:hint="eastAsia" w:ascii="宋体" w:hAnsi="宋体"/>
                <w:color w:val="000000"/>
                <w:sz w:val="20"/>
                <w:szCs w:val="20"/>
              </w:rPr>
              <w:t>满足产品要求所需</w:t>
            </w:r>
          </w:p>
          <w:p>
            <w:pPr>
              <w:jc w:val="both"/>
              <w:rPr>
                <w:rFonts w:ascii="宋体"/>
                <w:color w:val="000000"/>
                <w:sz w:val="20"/>
                <w:szCs w:val="20"/>
              </w:rPr>
            </w:pPr>
            <w:r>
              <w:rPr>
                <w:rFonts w:hint="eastAsia" w:ascii="宋体" w:hAnsi="宋体"/>
                <w:color w:val="000000"/>
                <w:sz w:val="20"/>
                <w:szCs w:val="20"/>
              </w:rPr>
              <w:t>工作环境</w:t>
            </w:r>
          </w:p>
        </w:tc>
        <w:tc>
          <w:tcPr>
            <w:tcW w:w="7427" w:type="dxa"/>
            <w:vAlign w:val="center"/>
          </w:tcPr>
          <w:p>
            <w:pPr>
              <w:jc w:val="both"/>
              <w:rPr>
                <w:rFonts w:hint="default" w:ascii="宋体" w:eastAsia="宋体"/>
                <w:color w:val="000000"/>
                <w:sz w:val="20"/>
                <w:szCs w:val="20"/>
                <w:lang w:val="en-US" w:eastAsia="zh-CN"/>
              </w:rPr>
            </w:pPr>
            <w:r>
              <w:rPr>
                <w:rFonts w:hint="eastAsia"/>
                <w:sz w:val="21"/>
                <w:szCs w:val="21"/>
              </w:rPr>
              <w:t>办公</w:t>
            </w:r>
            <w:r>
              <w:rPr>
                <w:rFonts w:hint="eastAsia"/>
                <w:sz w:val="21"/>
                <w:szCs w:val="21"/>
                <w:lang w:val="en-US" w:eastAsia="zh-CN"/>
              </w:rPr>
              <w:t>面积100平米</w:t>
            </w:r>
            <w:r>
              <w:rPr>
                <w:rFonts w:hint="eastAsia"/>
                <w:sz w:val="21"/>
                <w:szCs w:val="21"/>
              </w:rPr>
              <w:t>，</w:t>
            </w:r>
            <w:r>
              <w:rPr>
                <w:rFonts w:hint="eastAsia"/>
                <w:sz w:val="21"/>
                <w:szCs w:val="21"/>
                <w:lang w:val="en-US" w:eastAsia="zh-CN"/>
              </w:rPr>
              <w:t>车间</w:t>
            </w:r>
            <w:r>
              <w:rPr>
                <w:rFonts w:hint="eastAsia"/>
                <w:sz w:val="21"/>
                <w:szCs w:val="21"/>
              </w:rPr>
              <w:t>50</w:t>
            </w:r>
            <w:r>
              <w:rPr>
                <w:rFonts w:hint="eastAsia"/>
                <w:sz w:val="21"/>
                <w:szCs w:val="21"/>
                <w:lang w:val="en-US" w:eastAsia="zh-CN"/>
              </w:rPr>
              <w:t>0</w:t>
            </w:r>
            <w:r>
              <w:rPr>
                <w:rFonts w:hint="eastAsia"/>
                <w:sz w:val="21"/>
                <w:szCs w:val="21"/>
              </w:rPr>
              <w:t>平米</w:t>
            </w:r>
            <w:r>
              <w:rPr>
                <w:rFonts w:hint="eastAsia"/>
                <w:sz w:val="21"/>
                <w:szCs w:val="21"/>
                <w:lang w:eastAsia="zh-CN"/>
              </w:rPr>
              <w:t>，</w:t>
            </w:r>
            <w:r>
              <w:rPr>
                <w:rFonts w:hint="eastAsia"/>
                <w:sz w:val="21"/>
                <w:szCs w:val="21"/>
                <w:lang w:val="en-US" w:eastAsia="zh-CN"/>
              </w:rPr>
              <w:t>可以满足加工、销售服务的需求。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火灾事故的发生、固废的排放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针对重要环境因素建立了运行控制程序：</w:t>
            </w:r>
            <w:r>
              <w:rPr>
                <w:rFonts w:hint="eastAsia" w:ascii="宋体" w:hAnsi="Times New Roman" w:cs="Times New Roman"/>
                <w:color w:val="000000"/>
                <w:sz w:val="20"/>
                <w:szCs w:val="20"/>
                <w:lang w:val="en-US" w:eastAsia="zh-CN"/>
              </w:rPr>
              <w:t>生产过程环境运行控制程序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center"/>
          </w:tcPr>
          <w:p>
            <w:pPr>
              <w:jc w:val="both"/>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9497"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497" w:type="dxa"/>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949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生产部、质检部、销售部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综合部、生产部、销售部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10" w:firstLineChars="100"/>
        <w:rPr>
          <w:szCs w:val="21"/>
        </w:rPr>
      </w:pPr>
      <w:r>
        <w:rPr>
          <w:szCs w:val="21"/>
        </w:rPr>
        <w:t>Q：</w:t>
      </w:r>
      <w:r>
        <w:rPr>
          <w:rFonts w:hint="eastAsia"/>
          <w:szCs w:val="21"/>
        </w:rPr>
        <w:t>水泵配件（叶轮，泵轴，泵头，轴套，护套，轴承体，机封体，填料体）的加工销售及水泵销售</w:t>
      </w:r>
    </w:p>
    <w:p>
      <w:pPr>
        <w:spacing w:line="300" w:lineRule="auto"/>
        <w:ind w:firstLine="210" w:firstLineChars="100"/>
        <w:rPr>
          <w:rFonts w:ascii="宋体"/>
          <w:b/>
          <w:color w:val="000000"/>
          <w:sz w:val="20"/>
          <w:szCs w:val="20"/>
          <w:u w:val="single"/>
        </w:rPr>
      </w:pPr>
      <w:r>
        <w:rPr>
          <w:szCs w:val="21"/>
        </w:rPr>
        <w:t>E：</w:t>
      </w:r>
      <w:r>
        <w:rPr>
          <w:rFonts w:hint="eastAsia"/>
          <w:szCs w:val="21"/>
        </w:rPr>
        <w:t>水泵配件（叶轮，泵轴，泵头，轴套，护套，轴承体，机封体，填料体）的加工销售及水泵销售</w:t>
      </w:r>
      <w:r>
        <w:rPr>
          <w:szCs w:val="21"/>
        </w:rPr>
        <w:t>及所涉及的环境管理活动</w:t>
      </w:r>
    </w:p>
    <w:p>
      <w:pPr>
        <w:spacing w:before="156" w:beforeLines="50" w:after="62" w:afterLines="20" w:line="360" w:lineRule="exact"/>
        <w:ind w:firstLine="240" w:firstLineChars="100"/>
        <w:rPr>
          <w:rFonts w:ascii="宋体"/>
          <w:b/>
          <w:bCs/>
          <w:color w:val="000000"/>
          <w:sz w:val="26"/>
          <w:szCs w:val="26"/>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1750695</wp:posOffset>
            </wp:positionH>
            <wp:positionV relativeFrom="paragraph">
              <wp:posOffset>185420</wp:posOffset>
            </wp:positionV>
            <wp:extent cx="1049020" cy="50482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49020" cy="50482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2020.4.15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975"/>
        <w:gridCol w:w="239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975"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94"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9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提供的流程图与实际不符</w:t>
            </w:r>
            <w:r>
              <w:rPr>
                <w:rFonts w:hint="eastAsia" w:ascii="Times New Roman" w:hAnsi="Times New Roman" w:cs="Times New Roman"/>
                <w:color w:val="000000"/>
                <w:sz w:val="21"/>
                <w:szCs w:val="21"/>
                <w:lang w:val="en-US" w:eastAsia="zh-CN"/>
              </w:rPr>
              <w:t>，需确认过程不符</w:t>
            </w:r>
          </w:p>
        </w:tc>
        <w:tc>
          <w:tcPr>
            <w:tcW w:w="2394"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GB/T19001-2016</w:t>
            </w:r>
          </w:p>
        </w:tc>
        <w:tc>
          <w:tcPr>
            <w:tcW w:w="1811"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8.1</w:t>
            </w:r>
            <w:r>
              <w:rPr>
                <w:rFonts w:hint="eastAsia" w:ascii="Times New Roman" w:hAnsi="Times New Roman" w:cs="Times New Roman"/>
                <w:color w:val="000000"/>
                <w:sz w:val="21"/>
                <w:szCs w:val="21"/>
                <w:lang w:val="en-US" w:eastAsia="zh-CN"/>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975" w:type="dxa"/>
            <w:vAlign w:val="center"/>
          </w:tcPr>
          <w:p>
            <w:pPr>
              <w:pStyle w:val="4"/>
              <w:pBdr>
                <w:bottom w:val="none" w:color="auto" w:sz="0" w:space="0"/>
              </w:pBdr>
              <w:tabs>
                <w:tab w:val="center" w:pos="5737"/>
                <w:tab w:val="clear" w:pos="4153"/>
              </w:tabs>
              <w:jc w:val="both"/>
              <w:rPr>
                <w:color w:val="000000"/>
                <w:sz w:val="24"/>
                <w:szCs w:val="24"/>
              </w:rPr>
            </w:pPr>
          </w:p>
        </w:tc>
        <w:tc>
          <w:tcPr>
            <w:tcW w:w="23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975" w:type="dxa"/>
            <w:vAlign w:val="center"/>
          </w:tcPr>
          <w:p>
            <w:pPr>
              <w:pStyle w:val="4"/>
              <w:pBdr>
                <w:bottom w:val="none" w:color="auto" w:sz="0" w:space="0"/>
              </w:pBdr>
              <w:tabs>
                <w:tab w:val="center" w:pos="5737"/>
                <w:tab w:val="clear" w:pos="4153"/>
              </w:tabs>
              <w:jc w:val="both"/>
              <w:rPr>
                <w:color w:val="000000"/>
                <w:sz w:val="24"/>
                <w:szCs w:val="24"/>
              </w:rPr>
            </w:pPr>
          </w:p>
        </w:tc>
        <w:tc>
          <w:tcPr>
            <w:tcW w:w="23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975" w:type="dxa"/>
            <w:vAlign w:val="center"/>
          </w:tcPr>
          <w:p>
            <w:pPr>
              <w:pStyle w:val="4"/>
              <w:pBdr>
                <w:bottom w:val="none" w:color="auto" w:sz="0" w:space="0"/>
              </w:pBdr>
              <w:tabs>
                <w:tab w:val="center" w:pos="5737"/>
                <w:tab w:val="clear" w:pos="4153"/>
              </w:tabs>
              <w:jc w:val="both"/>
              <w:rPr>
                <w:color w:val="000000"/>
                <w:sz w:val="24"/>
                <w:szCs w:val="24"/>
              </w:rPr>
            </w:pPr>
          </w:p>
        </w:tc>
        <w:tc>
          <w:tcPr>
            <w:tcW w:w="23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宋体" w:hAnsi="宋体"/>
                <w:kern w:val="2"/>
                <w:sz w:val="24"/>
                <w:lang w:val="en-US" w:eastAsia="zh-CN" w:bidi="ar-SA"/>
              </w:rPr>
              <w:drawing>
                <wp:anchor distT="0" distB="0" distL="114300" distR="114300" simplePos="0" relativeHeight="251663360" behindDoc="1" locked="0" layoutInCell="1" allowOverlap="1">
                  <wp:simplePos x="0" y="0"/>
                  <wp:positionH relativeFrom="column">
                    <wp:posOffset>897255</wp:posOffset>
                  </wp:positionH>
                  <wp:positionV relativeFrom="paragraph">
                    <wp:posOffset>156210</wp:posOffset>
                  </wp:positionV>
                  <wp:extent cx="1049020" cy="50482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9020" cy="50482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1312" behindDoc="1" locked="0" layoutInCell="1" allowOverlap="1">
                  <wp:simplePos x="0" y="0"/>
                  <wp:positionH relativeFrom="column">
                    <wp:posOffset>1189355</wp:posOffset>
                  </wp:positionH>
                  <wp:positionV relativeFrom="paragraph">
                    <wp:posOffset>6350</wp:posOffset>
                  </wp:positionV>
                  <wp:extent cx="679450" cy="361950"/>
                  <wp:effectExtent l="0" t="0" r="635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79450" cy="36195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ascii="宋体" w:hAnsi="宋体"/>
                <w:kern w:val="2"/>
                <w:sz w:val="24"/>
                <w:lang w:val="en-US" w:eastAsia="zh-CN" w:bidi="ar-SA"/>
              </w:rPr>
              <w:drawing>
                <wp:anchor distT="0" distB="0" distL="114300" distR="114300" simplePos="0" relativeHeight="251666432" behindDoc="0" locked="0" layoutInCell="1" allowOverlap="1">
                  <wp:simplePos x="0" y="0"/>
                  <wp:positionH relativeFrom="column">
                    <wp:posOffset>550545</wp:posOffset>
                  </wp:positionH>
                  <wp:positionV relativeFrom="paragraph">
                    <wp:posOffset>34290</wp:posOffset>
                  </wp:positionV>
                  <wp:extent cx="1049020" cy="504825"/>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04151347"/>
                          <pic:cNvPicPr>
                            <a:picLocks noChangeAspect="1"/>
                          </pic:cNvPicPr>
                        </pic:nvPicPr>
                        <pic:blipFill>
                          <a:blip r:embed="rId6"/>
                          <a:stretch>
                            <a:fillRect/>
                          </a:stretch>
                        </pic:blipFill>
                        <pic:spPr>
                          <a:xfrm>
                            <a:off x="0" y="0"/>
                            <a:ext cx="1049020" cy="50482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bookmarkStart w:id="23" w:name="_GoBack"/>
            <w:bookmarkEnd w:id="23"/>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9316EB"/>
    <w:rsid w:val="6F116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2020-04-22T03:28:03Z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