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0771-2022-QEOFH</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贵州尊朋酒业有限公司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邝柏臣</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p w:rsidR="00F9189D">
            <w:pPr>
              <w:spacing w:line="360" w:lineRule="auto"/>
              <w:jc w:val="center"/>
              <w:rPr>
                <w:b/>
                <w:szCs w:val="21"/>
              </w:rPr>
            </w:pPr>
            <w:r>
              <w:rPr>
                <w:b/>
                <w:szCs w:val="21"/>
              </w:rPr>
              <w:t>F:审核员</w:t>
            </w:r>
          </w:p>
          <w:p w:rsidR="00F9189D">
            <w:pPr>
              <w:spacing w:line="360" w:lineRule="auto"/>
              <w:jc w:val="center"/>
              <w:rPr>
                <w:b/>
                <w:szCs w:val="21"/>
              </w:rPr>
            </w:pPr>
            <w:r>
              <w:rPr>
                <w:b/>
                <w:szCs w:val="21"/>
              </w:rPr>
              <w:t>H:审核员</w:t>
            </w:r>
          </w:p>
        </w:tc>
        <w:tc>
          <w:tcPr>
            <w:tcW w:w="2268" w:type="dxa"/>
            <w:vAlign w:val="center"/>
          </w:tcPr>
          <w:p w:rsidR="00F9189D">
            <w:pPr>
              <w:spacing w:line="360" w:lineRule="auto"/>
              <w:jc w:val="center"/>
              <w:rPr>
                <w:b/>
                <w:szCs w:val="21"/>
              </w:rPr>
            </w:pPr>
            <w:r>
              <w:rPr>
                <w:b/>
                <w:szCs w:val="21"/>
              </w:rPr>
              <w:t>2023-N1QMS-2222839</w:t>
            </w:r>
          </w:p>
          <w:p w:rsidR="00F9189D">
            <w:pPr>
              <w:spacing w:line="360" w:lineRule="auto"/>
              <w:jc w:val="center"/>
              <w:rPr>
                <w:b/>
                <w:szCs w:val="21"/>
              </w:rPr>
            </w:pPr>
            <w:r>
              <w:rPr>
                <w:b/>
                <w:szCs w:val="21"/>
              </w:rPr>
              <w:t>2023-N1EMS-1222839</w:t>
            </w:r>
          </w:p>
          <w:p w:rsidR="00F9189D">
            <w:pPr>
              <w:spacing w:line="360" w:lineRule="auto"/>
              <w:jc w:val="center"/>
              <w:rPr>
                <w:b/>
                <w:szCs w:val="21"/>
              </w:rPr>
            </w:pPr>
            <w:r>
              <w:rPr>
                <w:b/>
                <w:szCs w:val="21"/>
              </w:rPr>
              <w:t>2023-N1OHSMS-1222839</w:t>
            </w:r>
          </w:p>
          <w:p w:rsidR="00F9189D">
            <w:pPr>
              <w:spacing w:line="360" w:lineRule="auto"/>
              <w:jc w:val="center"/>
              <w:rPr>
                <w:b/>
                <w:szCs w:val="21"/>
              </w:rPr>
            </w:pPr>
            <w:r>
              <w:rPr>
                <w:b/>
                <w:szCs w:val="21"/>
              </w:rPr>
              <w:t>2023-N1FSMS-2222839</w:t>
            </w:r>
          </w:p>
          <w:p w:rsidR="00F9189D">
            <w:pPr>
              <w:spacing w:line="360" w:lineRule="auto"/>
              <w:jc w:val="center"/>
              <w:rPr>
                <w:b/>
                <w:szCs w:val="21"/>
              </w:rPr>
            </w:pPr>
            <w:r>
              <w:rPr>
                <w:b/>
                <w:szCs w:val="21"/>
              </w:rPr>
              <w:t>2020-N1HACCP-1222839</w:t>
            </w:r>
          </w:p>
        </w:tc>
        <w:tc>
          <w:tcPr>
            <w:tcW w:w="3145" w:type="dxa"/>
            <w:vAlign w:val="center"/>
          </w:tcPr>
          <w:p w:rsidR="00F9189D">
            <w:pPr>
              <w:spacing w:line="360" w:lineRule="auto"/>
              <w:jc w:val="center"/>
              <w:rPr>
                <w:b/>
                <w:szCs w:val="21"/>
              </w:rPr>
            </w:pPr>
            <w:r>
              <w:rPr>
                <w:b/>
                <w:szCs w:val="21"/>
              </w:rPr>
              <w:t>Q:03.10.01</w:t>
            </w:r>
          </w:p>
          <w:p w:rsidR="00F9189D">
            <w:pPr>
              <w:spacing w:line="360" w:lineRule="auto"/>
              <w:jc w:val="center"/>
              <w:rPr>
                <w:b/>
                <w:szCs w:val="21"/>
              </w:rPr>
            </w:pPr>
            <w:r>
              <w:rPr>
                <w:b/>
                <w:szCs w:val="21"/>
              </w:rPr>
              <w:t>E:03.10.01</w:t>
            </w:r>
          </w:p>
          <w:p w:rsidR="00F9189D">
            <w:pPr>
              <w:spacing w:line="360" w:lineRule="auto"/>
              <w:jc w:val="center"/>
              <w:rPr>
                <w:b/>
                <w:szCs w:val="21"/>
              </w:rPr>
            </w:pPr>
            <w:r>
              <w:rPr>
                <w:b/>
                <w:szCs w:val="21"/>
              </w:rPr>
              <w:t>O:03.10.01</w:t>
            </w:r>
          </w:p>
          <w:p w:rsidR="00F9189D">
            <w:pPr>
              <w:spacing w:line="360" w:lineRule="auto"/>
              <w:jc w:val="center"/>
              <w:rPr>
                <w:b/>
                <w:szCs w:val="21"/>
              </w:rPr>
            </w:pPr>
            <w:r>
              <w:rPr>
                <w:b/>
                <w:szCs w:val="21"/>
              </w:rPr>
              <w:t>F:CIV-5</w:t>
            </w:r>
          </w:p>
          <w:p w:rsidR="00F9189D">
            <w:pPr>
              <w:spacing w:line="360" w:lineRule="auto"/>
              <w:jc w:val="center"/>
              <w:rPr>
                <w:b/>
                <w:szCs w:val="21"/>
              </w:rPr>
            </w:pPr>
            <w:r>
              <w:rPr>
                <w:b/>
                <w:szCs w:val="21"/>
              </w:rPr>
              <w:t>H:CIV-5</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质量管理体系,环境管理体系,职业健康安全管理体系,食品安全管理体系,危害分析与关键控制点体系</w:t>
      </w:r>
      <w:bookmarkEnd w:id="10"/>
      <w:r>
        <w:rPr>
          <w:rFonts w:cs="宋体" w:hint="eastAsia"/>
          <w:b/>
          <w:kern w:val="0"/>
          <w:szCs w:val="21"/>
        </w:rPr>
        <w:t>）</w:t>
      </w:r>
      <w:r>
        <w:rPr>
          <w:rFonts w:hAnsi="宋体" w:hint="eastAsia"/>
          <w:szCs w:val="21"/>
        </w:rPr>
        <w:t>认证后，进行第</w:t>
      </w:r>
      <w:bookmarkStart w:id="11" w:name="监督次数"/>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ISO45001：2018,F：ISO 22000:2018,H：危害分析与关键控制点（HACCP）体系认证要求（V1.0）</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2023年10月10日 上午至2023年10月10日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贵州省遵义市播州区鸭溪镇金刀村茅台生态循环经济产业示范园区</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贵州省遵义市播州区鸭溪镇金刀村茅台生态循环经济产业示范园区</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