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0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169"/>
        <w:gridCol w:w="10313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951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1169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涉及</w:t>
            </w: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条款</w:t>
            </w:r>
          </w:p>
        </w:tc>
        <w:tc>
          <w:tcPr>
            <w:tcW w:w="10313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受审核部门：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市场开发部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   主管领导：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李耀宗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     陪同人员：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陈飞燕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195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313" w:type="dxa"/>
            <w:vAlign w:val="center"/>
          </w:tcPr>
          <w:p>
            <w:pPr>
              <w:spacing w:before="120" w:line="360" w:lineRule="auto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李俐、强兴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   审核时间：20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76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</w:trPr>
        <w:tc>
          <w:tcPr>
            <w:tcW w:w="195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31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05" w:rightChars="50"/>
              <w:jc w:val="left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审核条款：</w:t>
            </w:r>
          </w:p>
          <w:p>
            <w:pPr>
              <w:adjustRightInd w:val="0"/>
              <w:snapToGrid w:val="0"/>
              <w:spacing w:line="360" w:lineRule="auto"/>
              <w:ind w:right="105" w:rightChars="50"/>
              <w:jc w:val="left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Q: 5.3、6.2、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8.1、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8.2（8.2.1、8.2.2、8.2.3、8.2.4）、8.4、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85.1、8.5.2、8.5.3、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8.5.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、8.5.5、9.1.2，</w:t>
            </w:r>
          </w:p>
          <w:p>
            <w:pPr>
              <w:adjustRightInd w:val="0"/>
              <w:snapToGrid w:val="0"/>
              <w:spacing w:line="360" w:lineRule="auto"/>
              <w:ind w:right="105" w:rightChars="50"/>
              <w:jc w:val="left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E: 5.3、6.2、6.1.2、8.1、8.2，</w:t>
            </w:r>
          </w:p>
          <w:p>
            <w:pPr>
              <w:adjustRightInd w:val="0"/>
              <w:snapToGrid w:val="0"/>
              <w:spacing w:line="360" w:lineRule="auto"/>
              <w:ind w:right="105" w:rightChars="50"/>
              <w:jc w:val="left"/>
              <w:textAlignment w:val="baseline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O：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5.3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6.2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、6.1.2、8.1、8.2，</w:t>
            </w:r>
          </w:p>
        </w:tc>
        <w:tc>
          <w:tcPr>
            <w:tcW w:w="1276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3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  <w:t>岗位职责和权限</w:t>
            </w:r>
          </w:p>
          <w:p>
            <w:pPr>
              <w:spacing w:line="360" w:lineRule="auto"/>
              <w:rPr>
                <w:rFonts w:ascii="楷体" w:hAnsi="楷体" w:eastAsia="楷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9" w:type="dxa"/>
          </w:tcPr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3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  <w:t>QE</w:t>
            </w: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  <w:lang w:val="en-US" w:eastAsia="zh-CN"/>
              </w:rPr>
              <w:t>O：</w:t>
            </w: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  <w:t>5.3</w:t>
            </w:r>
          </w:p>
          <w:p>
            <w:pPr>
              <w:spacing w:line="360" w:lineRule="auto"/>
              <w:rPr>
                <w:rFonts w:ascii="楷体" w:hAnsi="楷体" w:eastAsia="楷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0313" w:type="dxa"/>
          </w:tcPr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部门负责人：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李耀宗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</w:t>
            </w:r>
            <w:r>
              <w:rPr>
                <w:rFonts w:ascii="宋体" w:hAnsi="宋体" w:cs="新宋体"/>
                <w:szCs w:val="21"/>
              </w:rPr>
              <w:t xml:space="preserve">  </w:t>
            </w:r>
          </w:p>
          <w:p>
            <w:pPr>
              <w:snapToGrid w:val="0"/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询问主要职责：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1)收集、汇总、分析各行业、客户、竞争对手及目标市场相关资料信息，及时、准确地了解外部环境的变化，支撑营销战略实施及相关环境、职业健康安全管理活动的实施与执行。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2)负责组织顾客要求的评审，与用户签订产品销售合同，组织计价核价，回收款项。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3)组织开展产品报价与分析工作，为提高产品的市场竞争力提供基础信息。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4)收集保存客户相关资料，建立并完善客户档案。做好对顾客财产的管理工作。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5)组织进行供方及外包方的选择、评价，确保选择合适的供应商及外包方；定期对供方及外包方的供货质量进行考核、评价，以满足采购控制要求。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6)负责汇总编制采购信息，明确采购内容；负责与供方及外包方签订采购/委托合同。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7)负责公司销售产品的交付，并定期进行顾客回访，进行售后服务；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8)负责调查顾客满意度信息，并组织进行统计分析。了解客户需求并及时反馈给相关部门。</w:t>
            </w:r>
          </w:p>
          <w:p>
            <w:pPr>
              <w:spacing w:line="360" w:lineRule="auto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新宋体"/>
                <w:szCs w:val="21"/>
              </w:rPr>
              <w:t>部门职责清晰、明确。市场开发部负责人能基本阐述本部门的主要职责。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  <w:t>目标及其实现的策划</w:t>
            </w:r>
          </w:p>
        </w:tc>
        <w:tc>
          <w:tcPr>
            <w:tcW w:w="1169" w:type="dxa"/>
          </w:tcPr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  <w:t xml:space="preserve"> </w:t>
            </w:r>
          </w:p>
          <w:p>
            <w:pPr>
              <w:pStyle w:val="3"/>
            </w:pPr>
          </w:p>
          <w:p>
            <w:pPr>
              <w:spacing w:line="360" w:lineRule="auto"/>
              <w:rPr>
                <w:rFonts w:ascii="楷体" w:hAnsi="楷体" w:eastAsia="楷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  <w:t>QE</w:t>
            </w: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  <w:lang w:val="en-US" w:eastAsia="zh-CN"/>
              </w:rPr>
              <w:t>O：</w:t>
            </w: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  <w:t>6.2</w:t>
            </w:r>
          </w:p>
        </w:tc>
        <w:tc>
          <w:tcPr>
            <w:tcW w:w="10313" w:type="dxa"/>
          </w:tcPr>
          <w:p>
            <w:pPr>
              <w:autoSpaceDE w:val="0"/>
              <w:autoSpaceDN w:val="0"/>
              <w:spacing w:line="360" w:lineRule="auto"/>
              <w:jc w:val="left"/>
            </w:pPr>
            <w:r>
              <w:rPr>
                <w:rFonts w:hint="eastAsia"/>
              </w:rPr>
              <w:t>市场开发部的目标是：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1）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检测报告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及时交付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率100%；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产品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检测报告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一次交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付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合格率100%</w:t>
            </w:r>
            <w:r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</w:rPr>
              <w:t>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  <w:lang w:val="en-US" w:eastAsia="zh-CN"/>
              </w:rPr>
              <w:t>3）</w:t>
            </w:r>
            <w:r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</w:rPr>
              <w:t>顾客满意度不低于90%；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  <w:lang w:val="en-US" w:eastAsia="zh-CN"/>
              </w:rPr>
              <w:t>4）</w:t>
            </w:r>
            <w:r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</w:rPr>
              <w:t>顾客投诉及时处理率100%</w:t>
            </w:r>
            <w:r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  <w:lang w:eastAsia="zh-CN"/>
              </w:rPr>
              <w:t>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  <w:lang w:val="en-US" w:eastAsia="zh-CN"/>
              </w:rPr>
              <w:t>5）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噪声、污水排放符合所在地标准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  <w:lang w:val="en-US" w:eastAsia="zh-CN"/>
              </w:rPr>
              <w:t>6）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避免危险有害废弃物违规排放，按规定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对其分类处理率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100%；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7）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适用环境及职业健康安全法规和其他要求符合率100%；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重大环境污染事故为零；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9）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确保相关方在环保及职业健康安全方面零投诉；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年度火灾和重大安全事故（死亡、重伤）发生率为零；</w:t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度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轻伤事故发生率控制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低于1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起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。</w:t>
            </w: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 xml:space="preserve">                             </w:t>
            </w:r>
          </w:p>
          <w:p>
            <w:pPr>
              <w:tabs>
                <w:tab w:val="center" w:pos="3169"/>
              </w:tabs>
              <w:spacing w:line="360" w:lineRule="auto"/>
              <w:jc w:val="left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/>
                <w:szCs w:val="22"/>
              </w:rPr>
              <w:t>2019.</w:t>
            </w:r>
            <w:r>
              <w:rPr>
                <w:rFonts w:hint="eastAsia"/>
                <w:szCs w:val="22"/>
                <w:lang w:val="en-US" w:eastAsia="zh-CN"/>
              </w:rPr>
              <w:t>12.25</w:t>
            </w:r>
            <w:r>
              <w:rPr>
                <w:rFonts w:hint="eastAsia"/>
                <w:szCs w:val="22"/>
              </w:rPr>
              <w:t>考核情况：经查已完成。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</w:trPr>
        <w:tc>
          <w:tcPr>
            <w:tcW w:w="1951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运行的策划和控制</w:t>
            </w:r>
          </w:p>
        </w:tc>
        <w:tc>
          <w:tcPr>
            <w:tcW w:w="1169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Q8.1</w:t>
            </w:r>
          </w:p>
        </w:tc>
        <w:tc>
          <w:tcPr>
            <w:tcW w:w="1031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1、产品/服务：智能设备、工业设备、机电产品、电子产品、仪器仪表的计量检测、销售；计量仪器仪表的维修及技术服务；产业计量、环保节能技术软件的研发。，制定了质量目标。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2、规定了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检测、维修、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销售的流程： 接收用户订单→签订合同→按照合同要求开始检测任务/合同相关需求—出具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检测报告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→收费明细单→开具发票→合同款项回收→合同完成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3、编制了销售工艺文件：《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与顾客沟通过程控制程序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》、《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采购管理控制程序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》、《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销售和服务提供控制程序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》等。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4、收集了相关法律法规：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质量法、公司法、合同法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等。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检测、维修、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销售及技术服务设施：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便携式检测设备、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电脑、汽车、笔记本、打印机、传真机等，基本满足要求。</w:t>
            </w: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6、质量记录：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检测原始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记录多份。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</w:trPr>
        <w:tc>
          <w:tcPr>
            <w:tcW w:w="1951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顾客沟通</w:t>
            </w:r>
          </w:p>
        </w:tc>
        <w:tc>
          <w:tcPr>
            <w:tcW w:w="1169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Q8.2.1</w:t>
            </w:r>
          </w:p>
        </w:tc>
        <w:tc>
          <w:tcPr>
            <w:tcW w:w="10313" w:type="dxa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市场开发部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负责人介绍沟通方式主要是电话、传真、资料传递、公司网站、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宣传页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等形式宣传本公司有关产品及公司的有关信誉等。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针对合同洽谈、签订、履行过程中的问题，及时电话联系，明确各自的要求，执行合同。</w:t>
            </w:r>
          </w:p>
          <w:p>
            <w:pPr>
              <w:spacing w:line="360" w:lineRule="auto"/>
              <w:jc w:val="left"/>
              <w:rPr>
                <w:rFonts w:hint="eastAsia" w:ascii="楷体" w:hAnsi="楷体" w:eastAsia="楷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目前沟通效果良好。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951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与产品和服务有关要求的确认、与产品有关要求评审</w:t>
            </w:r>
          </w:p>
        </w:tc>
        <w:tc>
          <w:tcPr>
            <w:tcW w:w="1169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pStyle w:val="3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pStyle w:val="4"/>
              <w:rPr>
                <w:rFonts w:hint="eastAsia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Q8.2.2、 Q8.2.3</w:t>
            </w:r>
            <w:r>
              <w:rPr>
                <w:rFonts w:ascii="楷体" w:hAnsi="楷体" w:eastAsia="楷体" w:cs="Arial"/>
                <w:sz w:val="24"/>
                <w:szCs w:val="24"/>
              </w:rPr>
              <w:t xml:space="preserve"> </w:t>
            </w:r>
          </w:p>
        </w:tc>
        <w:tc>
          <w:tcPr>
            <w:tcW w:w="10313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eastAsia="zh-CN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市场开发部</w:t>
            </w:r>
            <w:r>
              <w:rPr>
                <w:rFonts w:hint="eastAsia"/>
              </w:rPr>
              <w:t>经理介绍：通过招标会、市场调查、客户的走访、电话、传真了解市场的需求状态。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主要业务以招标文件、订单、合同、电话、邮件、传真等形式确定与产品有关的要求，均已保存或进行相应的记录。对顾客的要求由</w:t>
            </w:r>
            <w:r>
              <w:rPr>
                <w:rFonts w:hint="eastAsia"/>
                <w:lang w:eastAsia="zh-CN"/>
              </w:rPr>
              <w:t>市场开发部</w:t>
            </w:r>
            <w:r>
              <w:rPr>
                <w:rFonts w:hint="eastAsia"/>
              </w:rPr>
              <w:t>内勤直接对顾客要求进行识别、确认，对于存在的问题直接提出和顾客进行交流沟通，在合同签订前在公司微信群内对合同的要求进行评审。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李耀宗</w:t>
            </w:r>
            <w:r>
              <w:rPr>
                <w:rFonts w:hint="eastAsia"/>
              </w:rPr>
              <w:t>经理介绍，企业收到客户需求后，</w:t>
            </w:r>
            <w:r>
              <w:rPr>
                <w:rFonts w:hint="eastAsia"/>
                <w:lang w:eastAsia="zh-CN"/>
              </w:rPr>
              <w:t>市场开发部</w:t>
            </w:r>
            <w:r>
              <w:rPr>
                <w:rFonts w:hint="eastAsia"/>
              </w:rPr>
              <w:t>门内勤人员</w:t>
            </w:r>
            <w:r>
              <w:rPr>
                <w:rFonts w:hint="eastAsia"/>
                <w:lang w:val="en-US" w:eastAsia="zh-CN"/>
              </w:rPr>
              <w:t>确认是上门检测校准还是送公司检测校准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质量技术部、专业计量室</w:t>
            </w:r>
            <w:r>
              <w:rPr>
                <w:rFonts w:hint="eastAsia"/>
              </w:rPr>
              <w:t>部门负责人和总经理予以评审，没有异议可以满足要求后才签订购销合同，合同经总经理或其授权人签字并加盖企业公章视同经过合同评审，然后回传给客户作为可以满足要求的承诺，合同评审均是在合同回传给客户之前进行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抽查</w:t>
            </w:r>
            <w:r>
              <w:rPr>
                <w:rFonts w:hint="eastAsia"/>
                <w:lang w:eastAsia="zh-CN"/>
              </w:rPr>
              <w:t>：</w:t>
            </w:r>
          </w:p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514985</wp:posOffset>
                  </wp:positionV>
                  <wp:extent cx="1870075" cy="2748915"/>
                  <wp:effectExtent l="0" t="0" r="9525" b="6985"/>
                  <wp:wrapNone/>
                  <wp:docPr id="7" name="图片 7" descr="新文档 04-08-2020 15.41.46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新文档 04-08-2020 15.41.46_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274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合同编号：XASL-2019-001， 2019.1.1与西安巨浪精密机械有限公司签订《数控加工设备检测技术服务合同》，技术服务内容：数控加工设备位置精度等检测。</w:t>
            </w: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4158615</wp:posOffset>
                  </wp:positionH>
                  <wp:positionV relativeFrom="paragraph">
                    <wp:posOffset>128270</wp:posOffset>
                  </wp:positionV>
                  <wp:extent cx="2070100" cy="2371725"/>
                  <wp:effectExtent l="0" t="0" r="0" b="3175"/>
                  <wp:wrapNone/>
                  <wp:docPr id="21" name="图片 21" descr="7b0c01c39f222c799ae9066c465c6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b0c01c39f222c799ae9066c465c67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1997710</wp:posOffset>
                  </wp:positionH>
                  <wp:positionV relativeFrom="paragraph">
                    <wp:posOffset>14605</wp:posOffset>
                  </wp:positionV>
                  <wp:extent cx="1989455" cy="2673985"/>
                  <wp:effectExtent l="0" t="0" r="4445" b="5715"/>
                  <wp:wrapNone/>
                  <wp:docPr id="8" name="图片 8" descr="新文档 04-08-2020 15.41.46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新文档 04-08-2020 15.41.46_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合同编号：CYQFW2019-011 ，2019.6.10与中国石油天然气股份有限公司长庆油田分公司（第七采油厂）签订的《第七采油厂2019年数字化技术服务大队校验设备检测技术服务合同》。技术服务内容：负责数字化服务大队仪器仪表的校验等。</w:t>
            </w:r>
          </w:p>
          <w:p>
            <w:pPr>
              <w:pStyle w:val="3"/>
              <w:keepNext/>
              <w:widowControl w:val="0"/>
              <w:numPr>
                <w:ilvl w:val="0"/>
                <w:numId w:val="0"/>
              </w:numPr>
              <w:jc w:val="both"/>
              <w:outlineLvl w:val="1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3663950</wp:posOffset>
                  </wp:positionH>
                  <wp:positionV relativeFrom="paragraph">
                    <wp:posOffset>114300</wp:posOffset>
                  </wp:positionV>
                  <wp:extent cx="1645920" cy="2198370"/>
                  <wp:effectExtent l="0" t="0" r="5080" b="11430"/>
                  <wp:wrapNone/>
                  <wp:docPr id="11" name="图片 11" descr="新文档 04-08-2020 15.41.46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新文档 04-08-2020 15.41.46_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294640</wp:posOffset>
                  </wp:positionV>
                  <wp:extent cx="1454785" cy="1941195"/>
                  <wp:effectExtent l="0" t="0" r="5715" b="1905"/>
                  <wp:wrapNone/>
                  <wp:docPr id="10" name="图片 10" descr="新文档 04-08-2020 15.41.46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新文档 04-08-2020 15.41.46_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186055</wp:posOffset>
                  </wp:positionV>
                  <wp:extent cx="1468755" cy="2125980"/>
                  <wp:effectExtent l="0" t="0" r="4445" b="7620"/>
                  <wp:wrapNone/>
                  <wp:docPr id="9" name="图片 9" descr="新文档 04-08-2020 15.41.46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新文档 04-08-2020 15.41.46_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360" w:lineRule="auto"/>
              <w:ind w:left="0" w:leftChars="0" w:right="-6" w:rightChars="-3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4100195</wp:posOffset>
                  </wp:positionH>
                  <wp:positionV relativeFrom="paragraph">
                    <wp:posOffset>247015</wp:posOffset>
                  </wp:positionV>
                  <wp:extent cx="1888490" cy="2607310"/>
                  <wp:effectExtent l="0" t="0" r="3810" b="8890"/>
                  <wp:wrapNone/>
                  <wp:docPr id="14" name="图片 14" descr="新文档 04-08-2020 15.41.46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新文档 04-08-2020 15.41.46_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合同编号：XASL-2019-005,2019.4.9与陕西建设机械股份有限公司。签订的。检定校准技术服务。</w:t>
            </w:r>
          </w:p>
          <w:p>
            <w:pPr>
              <w:pStyle w:val="3"/>
              <w:keepNext/>
              <w:widowControl w:val="0"/>
              <w:numPr>
                <w:ilvl w:val="0"/>
                <w:numId w:val="0"/>
              </w:numPr>
              <w:jc w:val="both"/>
              <w:outlineLvl w:val="1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69215</wp:posOffset>
                  </wp:positionV>
                  <wp:extent cx="1741170" cy="2485390"/>
                  <wp:effectExtent l="0" t="0" r="11430" b="3810"/>
                  <wp:wrapNone/>
                  <wp:docPr id="13" name="图片 13" descr="新文档 04-08-2020 15.41.46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新文档 04-08-2020 15.41.46_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4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5080</wp:posOffset>
                  </wp:positionV>
                  <wp:extent cx="1752600" cy="2524125"/>
                  <wp:effectExtent l="0" t="0" r="0" b="3175"/>
                  <wp:wrapNone/>
                  <wp:docPr id="12" name="图片 12" descr="新文档 04-08-2020 15.41.46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新文档 04-08-2020 15.41.46_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4）合同编号：XASL-2019-021, 2019.8.8与西安应用光学研究所签订的《机加设备检测校准技术服务合同》，服务内容：负责数控车床，加工中心，光轴校准系统万能高速铣，慢走丝切割机，卧式加工中心数字非球面玻璃研磨机，智能化一体，练测共一，异形零件加工中心，磁流变抛光机，光学系统轴线测量装置等设备的精度检测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）合同编号：XASL-2019-029,2019.10.23与金花企业（集团）股份有限公司西安金花制药厂。签订的《仪器仪表校验计量技术服务协议》，服务内容：压力表、温湿度仪、药典筛、温度计，稳定性试验箱，数显温控仪，水浴锅，电导仪，电子天平，压差表，压力表等校验。</w:t>
            </w:r>
          </w:p>
          <w:p>
            <w:pPr>
              <w:pStyle w:val="4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189865</wp:posOffset>
                  </wp:positionV>
                  <wp:extent cx="2138680" cy="3089910"/>
                  <wp:effectExtent l="0" t="0" r="7620" b="8890"/>
                  <wp:wrapNone/>
                  <wp:docPr id="16" name="图片 16" descr="新文档 04-08-2020 15.41.46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新文档 04-08-2020 15.41.46_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8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168275</wp:posOffset>
                  </wp:positionV>
                  <wp:extent cx="2133600" cy="3087370"/>
                  <wp:effectExtent l="0" t="0" r="0" b="11430"/>
                  <wp:wrapNone/>
                  <wp:docPr id="15" name="图片 15" descr="新文档 04-08-2020 15.41.46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新文档 04-08-2020 15.41.46_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0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152400</wp:posOffset>
                  </wp:positionV>
                  <wp:extent cx="2018030" cy="2981960"/>
                  <wp:effectExtent l="0" t="0" r="1270" b="2540"/>
                  <wp:wrapNone/>
                  <wp:docPr id="17" name="图片 17" descr="新文档 04-08-2020 15.41.46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新文档 04-08-2020 15.41.46_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298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504190</wp:posOffset>
                  </wp:positionV>
                  <wp:extent cx="2506345" cy="1846580"/>
                  <wp:effectExtent l="0" t="0" r="7620" b="8255"/>
                  <wp:wrapNone/>
                  <wp:docPr id="18" name="图片 18" descr="新文档 04-08-2020 15.41.4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新文档 04-08-2020 15.41.46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6345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3854450</wp:posOffset>
                  </wp:positionH>
                  <wp:positionV relativeFrom="paragraph">
                    <wp:posOffset>167640</wp:posOffset>
                  </wp:positionV>
                  <wp:extent cx="1783080" cy="2555875"/>
                  <wp:effectExtent l="0" t="0" r="7620" b="9525"/>
                  <wp:wrapNone/>
                  <wp:docPr id="20" name="图片 20" descr="新文档 04-08-2020 15.41.46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新文档 04-08-2020 15.41.46_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2045335</wp:posOffset>
                  </wp:positionH>
                  <wp:positionV relativeFrom="paragraph">
                    <wp:posOffset>12700</wp:posOffset>
                  </wp:positionV>
                  <wp:extent cx="1699260" cy="2493010"/>
                  <wp:effectExtent l="0" t="0" r="2540" b="8890"/>
                  <wp:wrapNone/>
                  <wp:docPr id="19" name="图片 19" descr="新文档 04-08-2020 15.41.4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新文档 04-08-2020 15.41.46_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4521835</wp:posOffset>
                  </wp:positionH>
                  <wp:positionV relativeFrom="paragraph">
                    <wp:posOffset>368300</wp:posOffset>
                  </wp:positionV>
                  <wp:extent cx="1850390" cy="2617470"/>
                  <wp:effectExtent l="0" t="0" r="3810" b="11430"/>
                  <wp:wrapNone/>
                  <wp:docPr id="25" name="图片 25" descr="3e0a8c5cc8fbdfd80bd032230b8e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e0a8c5cc8fbdfd80bd032230b8e3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26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414020</wp:posOffset>
                  </wp:positionV>
                  <wp:extent cx="1768475" cy="2501265"/>
                  <wp:effectExtent l="0" t="0" r="9525" b="635"/>
                  <wp:wrapNone/>
                  <wp:docPr id="22" name="图片 22" descr="80820b01615780ec8c31cca354275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0820b01615780ec8c31cca3542759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3092450</wp:posOffset>
                  </wp:positionH>
                  <wp:positionV relativeFrom="paragraph">
                    <wp:posOffset>472440</wp:posOffset>
                  </wp:positionV>
                  <wp:extent cx="1564005" cy="2212340"/>
                  <wp:effectExtent l="0" t="0" r="10795" b="10160"/>
                  <wp:wrapNone/>
                  <wp:docPr id="24" name="图片 24" descr="760b2007aaba70d72b994f4ab722d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60b2007aaba70d72b994f4ab722d9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1663065</wp:posOffset>
                  </wp:positionH>
                  <wp:positionV relativeFrom="paragraph">
                    <wp:posOffset>448945</wp:posOffset>
                  </wp:positionV>
                  <wp:extent cx="1590040" cy="2249170"/>
                  <wp:effectExtent l="0" t="0" r="10160" b="11430"/>
                  <wp:wrapNone/>
                  <wp:docPr id="23" name="图片 23" descr="94b38d4be03276c6dd4c658a5d8e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4b38d4be03276c6dd4c658a5d8e2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6）合同编号：2019-28847 ，2019.10.30与中国石油天然气股份有限公司长庆油田分公司第三采油厂（采油工艺研究所）签订的《第三采油厂各类调压阀校验检测维护工艺技术服务合同》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pStyle w:val="4"/>
              <w:ind w:left="0" w:leftChars="0" w:firstLine="0" w:firstLineChars="0"/>
              <w:rPr>
                <w:rFonts w:hint="eastAsia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同2.1服务内容及要求:针对全厂761套各类调压阀开展校验检测维护工作，确保调压在校验有效期内站点用气安全平稳，配备功能齐全、性能完好、测量范围和准确度及量值溯源符合要求的多功能校验仪、压力计等测量设备现场进行校验检测服务，校检测过程心须严格中国家及行业相关标准执行，并出貝有效的校验检测报告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经评审，该项目校验检测维护工作，需要现场校准、维修，如有报废需购置更换。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李耀宗经理介绍：目前尚未发生合同更改的情况，询问对更改情况的控制较为明确清楚。 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产品和服务要求的评审基本符合标准要求。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210" w:firstLineChars="1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提供第三采油厂全厂761套各类调压阀开展校验检测维护过程中，产生的维修和更换的记录，通过甲方指定的供应商进行采购，提供采购合同。</w:t>
            </w: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4389120</wp:posOffset>
                  </wp:positionH>
                  <wp:positionV relativeFrom="paragraph">
                    <wp:posOffset>93345</wp:posOffset>
                  </wp:positionV>
                  <wp:extent cx="1999615" cy="2785745"/>
                  <wp:effectExtent l="0" t="0" r="6985" b="8255"/>
                  <wp:wrapNone/>
                  <wp:docPr id="28" name="图片 28" descr="69ba5b7602a79cf913c533896cf6b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9ba5b7602a79cf913c533896cf6bc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27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2341880</wp:posOffset>
                  </wp:positionH>
                  <wp:positionV relativeFrom="paragraph">
                    <wp:posOffset>85090</wp:posOffset>
                  </wp:positionV>
                  <wp:extent cx="2032000" cy="2862580"/>
                  <wp:effectExtent l="0" t="0" r="0" b="7620"/>
                  <wp:wrapNone/>
                  <wp:docPr id="27" name="图片 27" descr="09dada26966d5f7f1c09b8d74ae53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9dada26966d5f7f1c09b8d74ae533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94615</wp:posOffset>
                  </wp:positionV>
                  <wp:extent cx="2159635" cy="2880360"/>
                  <wp:effectExtent l="0" t="0" r="12065" b="2540"/>
                  <wp:wrapNone/>
                  <wp:docPr id="26" name="图片 26" descr="88eb356394e3a0dcbb3345ee261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8eb356394e3a0dcbb3345ee261209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</w:trPr>
        <w:tc>
          <w:tcPr>
            <w:tcW w:w="1951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与产品有关要求的更改</w:t>
            </w:r>
          </w:p>
        </w:tc>
        <w:tc>
          <w:tcPr>
            <w:tcW w:w="1169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Q8.2.4</w:t>
            </w:r>
            <w:r>
              <w:rPr>
                <w:rFonts w:ascii="楷体" w:hAnsi="楷体" w:eastAsia="楷体" w:cs="Arial"/>
                <w:sz w:val="24"/>
                <w:szCs w:val="24"/>
              </w:rPr>
              <w:t xml:space="preserve"> </w:t>
            </w:r>
          </w:p>
        </w:tc>
        <w:tc>
          <w:tcPr>
            <w:tcW w:w="10313" w:type="dxa"/>
            <w:vAlign w:val="top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管理手册对产品和服务要求的识别和更改进行了策划和规定；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 xml:space="preserve">   经过查阅企业订单文件，并与业务开发部负责人进行沟通，目前暂无产品和订单变更的情况；后续经营中，如出现有产品和订单要求的变更，将按照文件规定要求进行控制。</w:t>
            </w:r>
          </w:p>
          <w:p>
            <w:pPr>
              <w:spacing w:line="360" w:lineRule="auto"/>
              <w:rPr>
                <w:rFonts w:hint="eastAsia" w:ascii="楷体" w:hAnsi="楷体" w:eastAsia="楷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基本符合要求。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951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  <w:t>外部提供过程、服务和服务的控制</w:t>
            </w:r>
          </w:p>
          <w:p>
            <w:pPr>
              <w:spacing w:line="360" w:lineRule="auto"/>
              <w:rPr>
                <w:rFonts w:hint="eastAsia" w:ascii="楷体" w:hAnsi="楷体" w:eastAsia="楷体" w:cs="Times New Roman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69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  <w:t>Q</w:t>
            </w:r>
            <w:r>
              <w:rPr>
                <w:rFonts w:hint="eastAsia" w:ascii="楷体" w:hAnsi="楷体" w:eastAsia="楷体" w:cs="宋体"/>
                <w:color w:val="000000"/>
                <w:kern w:val="0"/>
                <w:sz w:val="24"/>
                <w:szCs w:val="24"/>
              </w:rPr>
              <w:t>8.4</w:t>
            </w:r>
          </w:p>
          <w:p>
            <w:pPr>
              <w:spacing w:line="360" w:lineRule="auto"/>
              <w:rPr>
                <w:rFonts w:hint="eastAsia" w:ascii="楷体" w:hAnsi="楷体" w:eastAsia="楷体" w:cs="Times New Roman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13" w:type="dxa"/>
            <w:vAlign w:val="center"/>
          </w:tcPr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外部提供的服务主要是公司计量标准器、和配套设备的溯源，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公司采购产品主要为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计量配套设备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、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标准物质、酒精、润滑油、手套、棉纱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等，暂无外包过程。</w:t>
            </w:r>
          </w:p>
          <w:p>
            <w:pPr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查到到《合格供方名录》，主要有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eastAsia="zh-CN"/>
              </w:rPr>
              <w:t>国家计量科学研究院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、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eastAsia="zh-CN"/>
              </w:rPr>
              <w:t>国家测试技术研究所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、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eastAsia="zh-CN"/>
              </w:rPr>
              <w:t>成都博远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新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eastAsia="zh-CN"/>
              </w:rPr>
              <w:t>锐科技有限责任公司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、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eastAsia="zh-CN"/>
              </w:rPr>
              <w:t>山东非金属材料研究所、陕西省计量科学研究院、中国航天动力股份有限公司计量中心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等。编制：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李楠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>，审批：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周东福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</w:rPr>
              <w:t xml:space="preserve">。  </w:t>
            </w:r>
          </w:p>
          <w:p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提供《合格服务和供应商名册》</w:t>
            </w:r>
          </w:p>
          <w:p>
            <w:pPr>
              <w:pStyle w:val="3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158115</wp:posOffset>
                  </wp:positionV>
                  <wp:extent cx="2832735" cy="2114550"/>
                  <wp:effectExtent l="0" t="0" r="12065" b="6350"/>
                  <wp:wrapNone/>
                  <wp:docPr id="2" name="图片 2" descr="9397435f3b17774379d91c361f7d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397435f3b17774379d91c361f7da8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2997835</wp:posOffset>
                  </wp:positionH>
                  <wp:positionV relativeFrom="paragraph">
                    <wp:posOffset>80010</wp:posOffset>
                  </wp:positionV>
                  <wp:extent cx="3237230" cy="1964690"/>
                  <wp:effectExtent l="0" t="0" r="1270" b="3810"/>
                  <wp:wrapNone/>
                  <wp:docPr id="3" name="图片 3" descr="894402107a6a13eeeb1f2c8b82d6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94402107a6a13eeeb1f2c8b82d628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3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-145415</wp:posOffset>
                  </wp:positionH>
                  <wp:positionV relativeFrom="paragraph">
                    <wp:posOffset>247650</wp:posOffset>
                  </wp:positionV>
                  <wp:extent cx="2238375" cy="3300095"/>
                  <wp:effectExtent l="0" t="0" r="9525" b="1905"/>
                  <wp:wrapNone/>
                  <wp:docPr id="4" name="图片 4" descr="844f6c945081631d1f6f29dc55e6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44f6c945081631d1f6f29dc55e624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抽查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服务和供应商评价表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：</w:t>
            </w:r>
          </w:p>
          <w:p>
            <w:pPr>
              <w:pStyle w:val="3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2100580</wp:posOffset>
                  </wp:positionH>
                  <wp:positionV relativeFrom="paragraph">
                    <wp:posOffset>111760</wp:posOffset>
                  </wp:positionV>
                  <wp:extent cx="2370455" cy="3183890"/>
                  <wp:effectExtent l="0" t="0" r="4445" b="3810"/>
                  <wp:wrapNone/>
                  <wp:docPr id="5" name="图片 5" descr="69f7c4d2a6bd7322812aa1d6a37f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9f7c4d2a6bd7322812aa1d6a37f44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318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4535805</wp:posOffset>
                  </wp:positionH>
                  <wp:positionV relativeFrom="paragraph">
                    <wp:posOffset>79375</wp:posOffset>
                  </wp:positionV>
                  <wp:extent cx="2089150" cy="2961640"/>
                  <wp:effectExtent l="0" t="0" r="6350" b="10160"/>
                  <wp:wrapNone/>
                  <wp:docPr id="6" name="图片 6" descr="20b95dfa8a05387b4114a39ba5f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b95dfa8a05387b4114a39ba5f23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29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pStyle w:val="4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楷体" w:hAnsi="楷体" w:eastAsia="楷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每年对服务供应商的资质、参数覆盖范围、量传能力等方面进行评定，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外部提供服务的控制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有效。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Times New Roman"/>
                <w:b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生产和服务提供的控制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default" w:ascii="楷体" w:hAnsi="楷体" w:eastAsia="楷体" w:cs="Times New Roman"/>
                <w:b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8.5.1</w:t>
            </w:r>
          </w:p>
        </w:tc>
        <w:tc>
          <w:tcPr>
            <w:tcW w:w="10313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市场开发部根据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项目的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需求，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购买需要的设备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，明确合同要求，在合同正式签定之前，进行合同评审，填写《合同评审记录》。签定合同之后，依据合同要求</w:t>
            </w:r>
            <w:r>
              <w:rPr>
                <w:rFonts w:hint="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制定《采购计划》实施采购。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查见该公司的《采购控制程序》、《销售和提供控制程序》等管理、作业及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文件对服务提供过程进行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公司。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现场查看营销工作情况：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1.下发的作业文件随手可得。规范规定了服务提供特性和验收标准，合同的洽商、评定和签订，售后服务保证，客户投诉的处置以及销售人员的产品知识业务能力的要求。文件可以指导销售过程的进行。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2.资源配置齐备，设施设备可以满足要求。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eastAsia="宋体"/>
                <w:color w:val="000000" w:themeColor="text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3查看销售合同都进行了评审</w:t>
            </w:r>
            <w:r>
              <w:rPr>
                <w:rFonts w:hint="eastAsia"/>
                <w:color w:val="000000" w:themeColor="text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4.提供有产品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记录表、发货单、产品合格证</w:t>
            </w:r>
            <w:r>
              <w:rPr>
                <w:rFonts w:hint="eastAsia"/>
                <w:color w:val="000000" w:themeColor="text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5.管理人员以及业务员、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检定校准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员、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售后服务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员都经过了培训，能力满足要求，无特种作业人员。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.制定了销售管理</w:t>
            </w:r>
            <w:bookmarkStart w:id="0" w:name="_GoBack"/>
            <w:bookmarkEnd w:id="0"/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制度、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搬运管理制度、仓库管理制度等，规定了操作的步骤、方法、注意事项等，操作人员直接按要求进行控制，防止人为错误。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.抽查“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售后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工作监督表”，2019年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月19日对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郭牧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进行的工作监督，项目包括对价格了解情况，对性能了解情况，接听电话礼仪，对文件了解情况等，满分100分，检查评分96分，检查人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孟宏伟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．所有的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计量设备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都必须经检验合格后方可入库和交付。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专业计量室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负责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计量设备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的检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校准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和放行，产品经过检验合格后方可放行和交付，市场开发部负责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计量设备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交付和交付后活动的实施，并负责联系售后服务。由</w:t>
            </w:r>
            <w:r>
              <w:rPr>
                <w:rFonts w:hint="eastAsia"/>
                <w:color w:val="000000" w:themeColor="text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市场开发部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开具发货单(一式三份,留存一联、财务一联、客户一联)，随货同行有产品合格证，公司负责联系货运交付到指定地点，经查出库、交付手续齐全。售后服务由</w:t>
            </w:r>
            <w:r>
              <w:rPr>
                <w:rFonts w:hint="eastAsia"/>
                <w:color w:val="000000" w:themeColor="text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市场开发部</w:t>
            </w:r>
            <w:r>
              <w:rPr>
                <w:rFonts w:hint="eastAsia"/>
                <w:color w:val="000000" w:themeColor="text1"/>
                <w:szCs w:val="22"/>
                <w14:textFill>
                  <w14:solidFill>
                    <w14:schemeClr w14:val="tx1"/>
                  </w14:solidFill>
                </w14:textFill>
              </w:rPr>
              <w:t>业务员按照售后服务规范执行</w:t>
            </w:r>
            <w:r>
              <w:rPr>
                <w:rFonts w:hint="eastAsia"/>
                <w:color w:val="000000" w:themeColor="text1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951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产品标识和可追朔性</w:t>
            </w:r>
          </w:p>
        </w:tc>
        <w:tc>
          <w:tcPr>
            <w:tcW w:w="1169" w:type="dxa"/>
            <w:vAlign w:val="top"/>
          </w:tcPr>
          <w:p>
            <w:pPr>
              <w:spacing w:line="360" w:lineRule="auto"/>
              <w:rPr>
                <w:rFonts w:ascii="宋体" w:hAnsi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Arial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Q8.5.2</w:t>
            </w:r>
          </w:p>
        </w:tc>
        <w:tc>
          <w:tcPr>
            <w:tcW w:w="10313" w:type="dxa"/>
            <w:vAlign w:val="top"/>
          </w:tcPr>
          <w:p>
            <w:pPr>
              <w:spacing w:line="360" w:lineRule="auto"/>
              <w:ind w:firstLine="315" w:firstLineChars="15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在《管理手册》中规定公司向顾客提供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检测报告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时采取适当措施，确保商品进入经营场所到销售过程中均被明确标识，对产品施加唯一性标识，如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计量器具名称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、编号、日期，并予以登记，保留实现可追溯性所需的记录。产品通常保留厂家标签、合格证等方式对产品进行标识，产品附有“合格证”有产品名称、型号、日期、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人员代号等信息，可作为追溯性标识，同时可根据采购合同、销售合同，入厂检验记录等进行追溯。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经现场查验标识齐全、清晰、正确，产品标识管理基本符合标准要求，并满足实际需要。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951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Times New Roman"/>
                <w:b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顾客或外供方财产</w:t>
            </w:r>
          </w:p>
        </w:tc>
        <w:tc>
          <w:tcPr>
            <w:tcW w:w="1169" w:type="dxa"/>
            <w:vAlign w:val="top"/>
          </w:tcPr>
          <w:p>
            <w:pPr>
              <w:spacing w:line="360" w:lineRule="auto"/>
              <w:rPr>
                <w:rFonts w:ascii="楷体" w:hAnsi="楷体" w:eastAsia="楷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Q8.5.3</w:t>
            </w:r>
          </w:p>
          <w:p>
            <w:pPr>
              <w:spacing w:line="360" w:lineRule="auto"/>
              <w:rPr>
                <w:rFonts w:hint="eastAsia" w:ascii="楷体" w:hAnsi="楷体" w:eastAsia="楷体" w:cs="Times New Roman"/>
                <w:b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13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宋体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顾客或外部供方的财产包括：资质证明文件（如营业执照和其它资质文件）、银行账号、联系方式、经营地址及档案资料等信息，由部门专门人员负责管理，分类登记放置。未发生损坏丢失、泄密等现象。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951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产品防护</w:t>
            </w:r>
          </w:p>
        </w:tc>
        <w:tc>
          <w:tcPr>
            <w:tcW w:w="1169" w:type="dxa"/>
            <w:vAlign w:val="top"/>
          </w:tcPr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6597"/>
              </w:tabs>
              <w:spacing w:line="360" w:lineRule="auto"/>
              <w:rPr>
                <w:rFonts w:hint="eastAsia" w:ascii="宋体" w:hAnsi="宋体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Q8.5.4 </w:t>
            </w:r>
          </w:p>
        </w:tc>
        <w:tc>
          <w:tcPr>
            <w:tcW w:w="10313" w:type="dxa"/>
            <w:vAlign w:val="top"/>
          </w:tcPr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公司对产品搬运、包装、贮存、运输以及交付等过程的防护实施控制：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1、搬运：配置适宜的搬运工具，采用合理的搬运方法，对易损、危险物品制定专门的搬运指导书，搬运人员按要求执行，做好产品防护，防止丢失和损坏。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2、包装：包装人员核对产品合格证，保持产品外观清洁、完整，按装箱单核对装箱产品，包装后进行正确标识。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3、贮存：规范仓库管理，保持安全适宜的贮存环境，先进先出，建立台账，定期盘点，经常查看库存物品。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4、运输：用防震材料添紧，避免相互碰撞造成破损，对运输供方进行合格评定，签订运输合同，保证产品运输质量，并对运输质量进行记录，跟踪监督。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5、交付：产品交付防护延续到交付的目的地。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公司自体系运行以来，未发生由于产品防护不当导致产品质量事故的情况，防护措施能够满足要求。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现场产品防护能够按照策划的要求实施，满足策划的要求。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</w:trPr>
        <w:tc>
          <w:tcPr>
            <w:tcW w:w="1951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顾客满意</w:t>
            </w:r>
          </w:p>
          <w:p>
            <w:pPr>
              <w:spacing w:line="360" w:lineRule="auto"/>
              <w:rPr>
                <w:rFonts w:hint="eastAsia" w:ascii="楷体" w:hAnsi="楷体" w:eastAsia="楷体" w:cs="Times New Roman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69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宋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Q9.1.2</w:t>
            </w:r>
          </w:p>
        </w:tc>
        <w:tc>
          <w:tcPr>
            <w:tcW w:w="10313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公司已建立和保持了《顾客满意度测量控制程序》，对顾客满意的监测的相关内容进行了规定，其包括了对调查方式、渠道、内容、频率等。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公司采取对主要顾客进行满意度调查的形式，发出《客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户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满意度调查表》，有效回收：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抽查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西安兴航航空制造有限公司、西安华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伏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特电器有限公司。陕西维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特测控仪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器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有限公司、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长庆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石油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职工医院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，调查内容有：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项目审查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服务态度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服务质量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沟通理解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等，查《顾客满意程度调查表》，客户评价均是非常满意。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提供《顾客满意度统计分析表》，顾客满意率达到97%，达到了质量目标的要求。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调查未发现有顾客投诉。</w:t>
            </w:r>
          </w:p>
        </w:tc>
        <w:tc>
          <w:tcPr>
            <w:tcW w:w="1276" w:type="dxa"/>
            <w:vAlign w:val="top"/>
          </w:tcPr>
          <w:p>
            <w:pPr>
              <w:spacing w:line="360" w:lineRule="auto"/>
              <w:rPr>
                <w:rFonts w:ascii="楷体" w:hAnsi="楷体" w:eastAsia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color w:val="000000"/>
                <w:sz w:val="24"/>
                <w:szCs w:val="24"/>
              </w:rPr>
              <w:t>顾客满意</w:t>
            </w: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</w:trPr>
        <w:tc>
          <w:tcPr>
            <w:tcW w:w="1951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环境因素</w:t>
            </w:r>
            <w:r>
              <w:rPr>
                <w:rFonts w:hint="eastAsia" w:ascii="楷体" w:hAnsi="楷体" w:eastAsia="楷体" w:cs="Arial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危险源辨识与评价</w:t>
            </w:r>
          </w:p>
          <w:p>
            <w:pPr>
              <w:spacing w:line="360" w:lineRule="auto"/>
              <w:rPr>
                <w:rFonts w:hint="eastAsia" w:ascii="楷体" w:hAnsi="楷体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69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O：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 xml:space="preserve">6.1.2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13" w:type="dxa"/>
            <w:vAlign w:val="center"/>
          </w:tcPr>
          <w:p>
            <w:pPr>
              <w:snapToGrid w:val="0"/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公司编制了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《环境因素识别与评价控制程序》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《危险源辨识和风险评价控制程序》。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市场开发部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的《环境因素识别评价表》，识别了本部门在办公、采购、销售、相关方等各有关过程的环境因素，包括水电消耗、办公纸张消耗、车辆尾气排放、废包装物排放等环境因素，能考虑生命周期观点。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查《危险源辨识及风险评价表》，识别了电脑辐射、触电、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运输汽车事故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等危险源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查《重要环境因素清单》，涉及本部门有2项重要环境因素，包括：固体废弃物的排放、火灾。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控制措施：固废分类存放、垃圾等由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综合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办公室负责按规定处置，包装物分类卖掉，培训教育，配备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有消防器材、应急预案等措施。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查《不可接受风险清单》，涉及本部门的不可接受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风险，包括：触电和火灾。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危险源控制执行管理方案、配备消防器材、个体防护、日常检查、培训教育、应急预案等运行控制措施。</w:t>
            </w:r>
          </w:p>
          <w:p>
            <w:pPr>
              <w:snapToGrid w:val="0"/>
              <w:spacing w:line="360" w:lineRule="auto"/>
              <w:rPr>
                <w:rFonts w:hint="eastAsia" w:ascii="楷体" w:hAnsi="楷体" w:eastAsia="楷体" w:cs="楷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 xml:space="preserve"> 部门识别和评价基本充分，符合规定要求。</w:t>
            </w:r>
          </w:p>
        </w:tc>
        <w:tc>
          <w:tcPr>
            <w:tcW w:w="1276" w:type="dxa"/>
            <w:vAlign w:val="top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1951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运行策划和控制</w:t>
            </w:r>
          </w:p>
        </w:tc>
        <w:tc>
          <w:tcPr>
            <w:tcW w:w="1169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O：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8.1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</w:tc>
        <w:tc>
          <w:tcPr>
            <w:tcW w:w="10313" w:type="dxa"/>
            <w:vAlign w:val="center"/>
          </w:tcPr>
          <w:p>
            <w:pPr>
              <w:spacing w:line="360" w:lineRule="auto"/>
              <w:rPr>
                <w:rFonts w:hint="eastAsia" w:ascii="Times New Roman" w:hAnsi="Times New Roman" w:cs="Times New Roman"/>
                <w:szCs w:val="22"/>
              </w:rPr>
            </w:pPr>
            <w:r>
              <w:rPr>
                <w:rFonts w:hint="eastAsia" w:ascii="Times New Roman" w:hAnsi="Times New Roman" w:cs="Times New Roman"/>
                <w:szCs w:val="22"/>
              </w:rPr>
              <w:t>编制并实施《应急准备和响应管理程序》、《安全管理程序》、《应急管理程序》、《防火管理程序》等</w:t>
            </w: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环境、</w:t>
            </w:r>
            <w:r>
              <w:rPr>
                <w:rFonts w:hint="eastAsia" w:ascii="Times New Roman" w:hAnsi="Times New Roman" w:cs="Times New Roman"/>
                <w:szCs w:val="22"/>
              </w:rPr>
              <w:t>职业健康安全控制程序和管理制度。</w:t>
            </w:r>
          </w:p>
          <w:p>
            <w:pPr>
              <w:spacing w:line="360" w:lineRule="auto"/>
              <w:ind w:firstLine="420" w:firstLineChars="200"/>
              <w:rPr>
                <w:rFonts w:hint="eastAsia" w:ascii="Times New Roman" w:hAnsi="Times New Roman" w:cs="Times New Roman"/>
                <w:szCs w:val="22"/>
              </w:rPr>
            </w:pPr>
            <w:r>
              <w:rPr>
                <w:rFonts w:hint="eastAsia" w:ascii="Times New Roman" w:hAnsi="Times New Roman" w:cs="Times New Roman"/>
                <w:szCs w:val="22"/>
              </w:rPr>
              <w:t>本部门办公中所使用的办公用品均由公司</w:t>
            </w: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综合</w:t>
            </w:r>
            <w:r>
              <w:rPr>
                <w:rFonts w:hint="eastAsia" w:ascii="Times New Roman" w:hAnsi="Times New Roman" w:cs="Times New Roman"/>
                <w:szCs w:val="22"/>
              </w:rPr>
              <w:t>办公室负责统一打印、复印，产生的废弃物，由办公室统一处理。对可回收的固体废弃物，一部分由厂家回收，厂家不回收的公司统一回收再利用或由物资回收公司处理，不可回收的废弃物由公司办公室统一处理，部门不单独处理。</w:t>
            </w:r>
          </w:p>
          <w:p>
            <w:pPr>
              <w:spacing w:line="360" w:lineRule="auto"/>
              <w:ind w:firstLine="210" w:firstLineChars="100"/>
              <w:rPr>
                <w:rFonts w:hint="eastAsia" w:ascii="Times New Roman" w:hAnsi="Times New Roman" w:cs="Times New Roman"/>
                <w:szCs w:val="22"/>
              </w:rPr>
            </w:pPr>
            <w:r>
              <w:rPr>
                <w:rFonts w:hint="eastAsia" w:ascii="Times New Roman" w:hAnsi="Times New Roman" w:cs="Times New Roman"/>
                <w:szCs w:val="22"/>
              </w:rPr>
              <w:t>办公室和仓库内主要是电的使用，电器有漏电保护器，经常对电路、电源进行检查，没有露电现象发生。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建立并实施了《相关方管理程序》，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对供应商施加影响还包括在评定供应商时，获取质量、环境、职业健康安全管理体系证书则优先，产品必须用环保无毒无害材料等措施。</w:t>
            </w:r>
          </w:p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部门运行控制基本符合策划要求。</w:t>
            </w:r>
          </w:p>
          <w:p>
            <w:pPr>
              <w:pStyle w:val="4"/>
              <w:ind w:left="0" w:leftChars="0" w:firstLine="0" w:firstLineChars="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951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应急准备和响应</w:t>
            </w:r>
          </w:p>
        </w:tc>
        <w:tc>
          <w:tcPr>
            <w:tcW w:w="1169" w:type="dxa"/>
            <w:vAlign w:val="center"/>
          </w:tcPr>
          <w:p>
            <w:pPr>
              <w:tabs>
                <w:tab w:val="left" w:pos="218"/>
              </w:tabs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O：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8.2、</w:t>
            </w:r>
          </w:p>
          <w:p>
            <w:pPr>
              <w:tabs>
                <w:tab w:val="left" w:pos="218"/>
              </w:tabs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</w:tc>
        <w:tc>
          <w:tcPr>
            <w:tcW w:w="1031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制定实施了《应急准备和响应控制程序》，制定了火灾、触电应急预案。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日参加了由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综合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办公室组织的消防演练。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现场查看仓库有灭火器，状态有效。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部门未发生过应急事件。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</w:tbl>
    <w:p>
      <w:r>
        <w:ptab w:relativeTo="margin" w:alignment="center" w:leader="none"/>
      </w:r>
    </w:p>
    <w:p/>
    <w:p/>
    <w:p>
      <w:pPr>
        <w:pStyle w:val="8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6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6"/>
        <w:rFonts w:hint="default"/>
      </w:rPr>
      <w:t>北京国标联合认证有限公司</w:t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</w:p>
  <w:p>
    <w:pPr>
      <w:pStyle w:val="9"/>
      <w:pBdr>
        <w:bottom w:val="none" w:color="auto" w:sz="0" w:space="1"/>
      </w:pBdr>
      <w:spacing w:line="320" w:lineRule="exact"/>
      <w:jc w:val="left"/>
    </w:pPr>
    <w:r>
      <w:pict>
        <v:shape id="文本框 1" o:spid="_x0000_s2050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D ISC-B-II-31管理体系审核记录表(03版)</w:t>
                </w:r>
              </w:p>
            </w:txbxContent>
          </v:textbox>
        </v:shape>
      </w:pict>
    </w:r>
    <w:r>
      <w:rPr>
        <w:rStyle w:val="16"/>
        <w:rFonts w:hint="default"/>
      </w:rPr>
      <w:t xml:space="preserve">        </w:t>
    </w:r>
    <w:r>
      <w:rPr>
        <w:rStyle w:val="16"/>
        <w:rFonts w:hint="default"/>
        <w:w w:val="90"/>
      </w:rPr>
      <w:t>Beijing International Standard united Certification Co.,Ltd.</w:t>
    </w:r>
    <w:r>
      <w:rPr>
        <w:rStyle w:val="16"/>
        <w:rFonts w:hint="default"/>
        <w:w w:val="90"/>
        <w:szCs w:val="21"/>
      </w:rPr>
      <w:t xml:space="preserve">  </w:t>
    </w:r>
    <w:r>
      <w:rPr>
        <w:rStyle w:val="16"/>
        <w:rFonts w:hint="default"/>
        <w:w w:val="90"/>
        <w:sz w:val="20"/>
      </w:rPr>
      <w:t xml:space="preserve"> </w:t>
    </w:r>
    <w:r>
      <w:rPr>
        <w:rStyle w:val="16"/>
        <w:rFonts w:hint="default"/>
        <w:w w:val="90"/>
      </w:rPr>
      <w:t xml:space="preserve">                   </w:t>
    </w:r>
  </w:p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F2098B"/>
    <w:multiLevelType w:val="singleLevel"/>
    <w:tmpl w:val="ECF2098B"/>
    <w:lvl w:ilvl="0" w:tentative="0">
      <w:start w:val="2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379D1BAB"/>
    <w:multiLevelType w:val="singleLevel"/>
    <w:tmpl w:val="379D1BAB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1E95"/>
    <w:rsid w:val="00032A72"/>
    <w:rsid w:val="0003373A"/>
    <w:rsid w:val="000A1249"/>
    <w:rsid w:val="000D06AF"/>
    <w:rsid w:val="00141F69"/>
    <w:rsid w:val="00151015"/>
    <w:rsid w:val="001A2D7F"/>
    <w:rsid w:val="001C1470"/>
    <w:rsid w:val="001D6B50"/>
    <w:rsid w:val="001F4540"/>
    <w:rsid w:val="00223BA4"/>
    <w:rsid w:val="00243882"/>
    <w:rsid w:val="00245A4F"/>
    <w:rsid w:val="002773AF"/>
    <w:rsid w:val="00280857"/>
    <w:rsid w:val="00284660"/>
    <w:rsid w:val="002A0B5B"/>
    <w:rsid w:val="002D023B"/>
    <w:rsid w:val="002E3E5B"/>
    <w:rsid w:val="002E43D2"/>
    <w:rsid w:val="00337922"/>
    <w:rsid w:val="003403D4"/>
    <w:rsid w:val="00340867"/>
    <w:rsid w:val="003468E2"/>
    <w:rsid w:val="003706AE"/>
    <w:rsid w:val="00380837"/>
    <w:rsid w:val="003D56C6"/>
    <w:rsid w:val="003E2EE9"/>
    <w:rsid w:val="00407AE2"/>
    <w:rsid w:val="00410914"/>
    <w:rsid w:val="004273E5"/>
    <w:rsid w:val="00524BC2"/>
    <w:rsid w:val="00536930"/>
    <w:rsid w:val="00541730"/>
    <w:rsid w:val="005537A3"/>
    <w:rsid w:val="00561442"/>
    <w:rsid w:val="00564E53"/>
    <w:rsid w:val="00567BA6"/>
    <w:rsid w:val="005748AF"/>
    <w:rsid w:val="00575289"/>
    <w:rsid w:val="005830C0"/>
    <w:rsid w:val="00583277"/>
    <w:rsid w:val="005A0BCF"/>
    <w:rsid w:val="005C4113"/>
    <w:rsid w:val="005F7A10"/>
    <w:rsid w:val="00627E58"/>
    <w:rsid w:val="006302B4"/>
    <w:rsid w:val="006373D8"/>
    <w:rsid w:val="00644FE2"/>
    <w:rsid w:val="00664C07"/>
    <w:rsid w:val="0067640C"/>
    <w:rsid w:val="00690215"/>
    <w:rsid w:val="006926AA"/>
    <w:rsid w:val="00695256"/>
    <w:rsid w:val="006B6C59"/>
    <w:rsid w:val="006E5C14"/>
    <w:rsid w:val="006E678B"/>
    <w:rsid w:val="006F5918"/>
    <w:rsid w:val="007610D4"/>
    <w:rsid w:val="007651FC"/>
    <w:rsid w:val="007757F3"/>
    <w:rsid w:val="007868DC"/>
    <w:rsid w:val="007873DB"/>
    <w:rsid w:val="00790B34"/>
    <w:rsid w:val="007B252B"/>
    <w:rsid w:val="007B7F3B"/>
    <w:rsid w:val="007D0F72"/>
    <w:rsid w:val="007E6AEB"/>
    <w:rsid w:val="00806D11"/>
    <w:rsid w:val="008102A5"/>
    <w:rsid w:val="00823AF0"/>
    <w:rsid w:val="008335A4"/>
    <w:rsid w:val="0088069D"/>
    <w:rsid w:val="00885E0F"/>
    <w:rsid w:val="0089001A"/>
    <w:rsid w:val="008949E9"/>
    <w:rsid w:val="008973EE"/>
    <w:rsid w:val="008A7726"/>
    <w:rsid w:val="0091791C"/>
    <w:rsid w:val="00943E40"/>
    <w:rsid w:val="009464A3"/>
    <w:rsid w:val="00957F46"/>
    <w:rsid w:val="00971600"/>
    <w:rsid w:val="009973B4"/>
    <w:rsid w:val="009C0423"/>
    <w:rsid w:val="009E17E1"/>
    <w:rsid w:val="009F3A73"/>
    <w:rsid w:val="009F7EED"/>
    <w:rsid w:val="00A11949"/>
    <w:rsid w:val="00A14992"/>
    <w:rsid w:val="00A4211D"/>
    <w:rsid w:val="00A67098"/>
    <w:rsid w:val="00AA5417"/>
    <w:rsid w:val="00AB69B9"/>
    <w:rsid w:val="00AC2F80"/>
    <w:rsid w:val="00AD1285"/>
    <w:rsid w:val="00AE2FB7"/>
    <w:rsid w:val="00AE31B0"/>
    <w:rsid w:val="00AF0AAB"/>
    <w:rsid w:val="00AF29CE"/>
    <w:rsid w:val="00B031F2"/>
    <w:rsid w:val="00B226B1"/>
    <w:rsid w:val="00B2785D"/>
    <w:rsid w:val="00B43768"/>
    <w:rsid w:val="00BB3F29"/>
    <w:rsid w:val="00BF597E"/>
    <w:rsid w:val="00C063BF"/>
    <w:rsid w:val="00C51A36"/>
    <w:rsid w:val="00C55228"/>
    <w:rsid w:val="00C60CC0"/>
    <w:rsid w:val="00C66B45"/>
    <w:rsid w:val="00C7541C"/>
    <w:rsid w:val="00C96BC5"/>
    <w:rsid w:val="00CA602F"/>
    <w:rsid w:val="00CD5AB9"/>
    <w:rsid w:val="00CE315A"/>
    <w:rsid w:val="00CF431E"/>
    <w:rsid w:val="00D0019C"/>
    <w:rsid w:val="00D061C9"/>
    <w:rsid w:val="00D06F59"/>
    <w:rsid w:val="00D25D77"/>
    <w:rsid w:val="00D63673"/>
    <w:rsid w:val="00D76F42"/>
    <w:rsid w:val="00D8388C"/>
    <w:rsid w:val="00DC6375"/>
    <w:rsid w:val="00E413AC"/>
    <w:rsid w:val="00E70F0E"/>
    <w:rsid w:val="00E8374D"/>
    <w:rsid w:val="00E90E1E"/>
    <w:rsid w:val="00E93546"/>
    <w:rsid w:val="00EA0A41"/>
    <w:rsid w:val="00EA6B1F"/>
    <w:rsid w:val="00EB0164"/>
    <w:rsid w:val="00EC2E60"/>
    <w:rsid w:val="00ED0F62"/>
    <w:rsid w:val="00ED4FA5"/>
    <w:rsid w:val="00F76B07"/>
    <w:rsid w:val="00FA0833"/>
    <w:rsid w:val="00FE0F91"/>
    <w:rsid w:val="012B3831"/>
    <w:rsid w:val="067F19DE"/>
    <w:rsid w:val="0A9428B3"/>
    <w:rsid w:val="108219C2"/>
    <w:rsid w:val="20096C3B"/>
    <w:rsid w:val="3DDE2316"/>
    <w:rsid w:val="4C290448"/>
    <w:rsid w:val="4D414A18"/>
    <w:rsid w:val="59E746C4"/>
    <w:rsid w:val="5EA12B9A"/>
    <w:rsid w:val="695B3D88"/>
    <w:rsid w:val="6F826A2C"/>
    <w:rsid w:val="7A00333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4"/>
    <w:qFormat/>
    <w:uiPriority w:val="0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tabs>
        <w:tab w:val="left" w:pos="0"/>
        <w:tab w:val="left" w:pos="180"/>
      </w:tabs>
      <w:spacing w:line="360" w:lineRule="auto"/>
      <w:jc w:val="left"/>
    </w:pPr>
    <w:rPr>
      <w:sz w:val="28"/>
    </w:rPr>
  </w:style>
  <w:style w:type="paragraph" w:styleId="4">
    <w:name w:val="Normal Indent"/>
    <w:basedOn w:val="1"/>
    <w:qFormat/>
    <w:uiPriority w:val="0"/>
    <w:pPr>
      <w:ind w:firstLine="420"/>
    </w:pPr>
  </w:style>
  <w:style w:type="paragraph" w:styleId="5">
    <w:name w:val="Body Text Indent"/>
    <w:basedOn w:val="1"/>
    <w:link w:val="17"/>
    <w:unhideWhenUsed/>
    <w:qFormat/>
    <w:uiPriority w:val="0"/>
    <w:pPr>
      <w:ind w:firstLine="525" w:firstLineChars="210"/>
    </w:pPr>
    <w:rPr>
      <w:spacing w:val="20"/>
      <w:szCs w:val="24"/>
    </w:rPr>
  </w:style>
  <w:style w:type="paragraph" w:styleId="6">
    <w:name w:val="Plain Text"/>
    <w:basedOn w:val="1"/>
    <w:uiPriority w:val="0"/>
    <w:rPr>
      <w:rFonts w:ascii="宋体" w:hAnsi="Courier New" w:cs="Courier New"/>
      <w:szCs w:val="21"/>
    </w:rPr>
  </w:style>
  <w:style w:type="paragraph" w:styleId="7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页眉 Char"/>
    <w:basedOn w:val="12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12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Char"/>
    <w:basedOn w:val="12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7">
    <w:name w:val="正文文本缩进 Char"/>
    <w:basedOn w:val="12"/>
    <w:link w:val="5"/>
    <w:qFormat/>
    <w:uiPriority w:val="0"/>
    <w:rPr>
      <w:rFonts w:ascii="Times New Roman" w:hAnsi="Times New Roman" w:eastAsia="宋体" w:cs="Times New Roman"/>
      <w:spacing w:val="20"/>
      <w:kern w:val="2"/>
      <w:sz w:val="21"/>
      <w:szCs w:val="24"/>
    </w:rPr>
  </w:style>
  <w:style w:type="paragraph" w:customStyle="1" w:styleId="18">
    <w:name w:val="_Style 2"/>
    <w:basedOn w:val="1"/>
    <w:qFormat/>
    <w:uiPriority w:val="34"/>
    <w:pPr>
      <w:widowControl/>
      <w:ind w:firstLine="420" w:firstLineChars="200"/>
      <w:jc w:val="left"/>
    </w:pPr>
    <w:rPr>
      <w:kern w:val="0"/>
      <w:sz w:val="20"/>
      <w:lang w:eastAsia="en-US"/>
    </w:rPr>
  </w:style>
  <w:style w:type="paragraph" w:customStyle="1" w:styleId="19">
    <w:name w:val="东方正文"/>
    <w:basedOn w:val="1"/>
    <w:qFormat/>
    <w:uiPriority w:val="0"/>
    <w:pPr>
      <w:spacing w:line="400" w:lineRule="exact"/>
      <w:ind w:left="284" w:right="284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180</Words>
  <Characters>1028</Characters>
  <Lines>8</Lines>
  <Paragraphs>2</Paragraphs>
  <TotalTime>7</TotalTime>
  <ScaleCrop>false</ScaleCrop>
  <LinksUpToDate>false</LinksUpToDate>
  <CharactersWithSpaces>1206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LIL</cp:lastModifiedBy>
  <dcterms:modified xsi:type="dcterms:W3CDTF">2020-04-10T00:53:18Z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