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0170-2020-2023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中阀控股（集团）有限公司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2023年09月12日 上午至2023年09月12日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