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rFonts w:hint="eastAsia" w:ascii="Times New Roman" w:hAnsi="Times New Roman" w:eastAsia="楷体" w:cs="Times New Roman"/>
          <w:b w:val="0"/>
          <w:bCs w:val="0"/>
          <w:color w:val="000000"/>
          <w:sz w:val="24"/>
          <w:szCs w:val="24"/>
        </w:rPr>
        <w:t>0034-2020-O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任丘市鸿通通讯器材有限公司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吉洁</w:t>
            </w:r>
          </w:p>
        </w:tc>
        <w:tc>
          <w:tcPr>
            <w:tcW w:w="992" w:type="dxa"/>
            <w:vAlign w:val="center"/>
          </w:tcPr>
          <w:p>
            <w:pPr>
              <w:spacing w:line="240" w:lineRule="exact"/>
              <w:jc w:val="center"/>
              <w:rPr>
                <w:rFonts w:hint="eastAsia" w:ascii="Times New Roman" w:hAnsi="Times New Roman" w:eastAsia="宋体" w:cs="Times New Roman"/>
                <w:b w:val="0"/>
                <w:bCs/>
                <w:kern w:val="2"/>
                <w:sz w:val="18"/>
                <w:szCs w:val="18"/>
                <w:lang w:val="en-US" w:eastAsia="zh-CN" w:bidi="ar-SA"/>
              </w:rPr>
            </w:pPr>
            <w:r>
              <w:rPr>
                <w:b w:val="0"/>
                <w:bCs/>
                <w:sz w:val="18"/>
                <w:szCs w:val="18"/>
              </w:rPr>
              <w:t>组长</w:t>
            </w:r>
          </w:p>
        </w:tc>
        <w:tc>
          <w:tcPr>
            <w:tcW w:w="1077" w:type="dxa"/>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女</w:t>
            </w:r>
          </w:p>
        </w:tc>
        <w:tc>
          <w:tcPr>
            <w:tcW w:w="3375" w:type="dxa"/>
            <w:gridSpan w:val="3"/>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审核员</w:t>
            </w:r>
          </w:p>
        </w:tc>
        <w:tc>
          <w:tcPr>
            <w:tcW w:w="2575" w:type="dxa"/>
            <w:gridSpan w:val="2"/>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96"/>
        <w:gridCol w:w="1362"/>
        <w:gridCol w:w="350"/>
        <w:gridCol w:w="1296"/>
        <w:gridCol w:w="954"/>
        <w:gridCol w:w="514"/>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74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804"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bCs w:val="0"/>
                <w:color w:val="000000"/>
                <w:sz w:val="20"/>
                <w:szCs w:val="20"/>
                <w:lang w:eastAsia="zh-CN"/>
              </w:rPr>
              <w:t>任丘市鸿通通讯器材有限公司</w:t>
            </w:r>
          </w:p>
        </w:tc>
        <w:tc>
          <w:tcPr>
            <w:tcW w:w="2320" w:type="dxa"/>
            <w:gridSpan w:val="3"/>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4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804" w:type="dxa"/>
            <w:gridSpan w:val="4"/>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eastAsia="zh-CN"/>
              </w:rPr>
              <w:t>任丘市麻家坞镇南马庄村东北侧</w:t>
            </w:r>
          </w:p>
        </w:tc>
        <w:tc>
          <w:tcPr>
            <w:tcW w:w="954" w:type="dxa"/>
            <w:vMerge w:val="restart"/>
            <w:vAlign w:val="center"/>
          </w:tcPr>
          <w:p>
            <w:pPr>
              <w:spacing w:line="280" w:lineRule="exact"/>
              <w:jc w:val="center"/>
              <w:rPr>
                <w:rFonts w:ascii="宋体" w:hAnsi="宋体"/>
                <w:b/>
                <w:color w:val="000000" w:themeColor="text1"/>
                <w:sz w:val="20"/>
                <w:szCs w:val="20"/>
              </w:rPr>
            </w:pPr>
            <w:r>
              <w:rPr>
                <w:rFonts w:hint="eastAsia" w:ascii="宋体" w:hAnsi="宋体"/>
                <w:b/>
                <w:color w:val="000000"/>
                <w:sz w:val="20"/>
                <w:szCs w:val="20"/>
              </w:rPr>
              <w:t>邮编</w:t>
            </w:r>
          </w:p>
        </w:tc>
        <w:tc>
          <w:tcPr>
            <w:tcW w:w="2375" w:type="dxa"/>
            <w:gridSpan w:val="3"/>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4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4804" w:type="dxa"/>
            <w:gridSpan w:val="4"/>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eastAsia="zh-CN"/>
              </w:rPr>
              <w:t>任丘市麻家坞镇南马庄村东北侧</w:t>
            </w:r>
          </w:p>
        </w:tc>
        <w:tc>
          <w:tcPr>
            <w:tcW w:w="9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375" w:type="dxa"/>
            <w:gridSpan w:val="3"/>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4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96" w:type="dxa"/>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韩庆伟</w:t>
            </w:r>
          </w:p>
        </w:tc>
        <w:tc>
          <w:tcPr>
            <w:tcW w:w="1362"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646" w:type="dxa"/>
            <w:gridSpan w:val="2"/>
            <w:vAlign w:val="center"/>
          </w:tcPr>
          <w:p>
            <w:pPr>
              <w:spacing w:line="280" w:lineRule="exact"/>
              <w:jc w:val="both"/>
              <w:rPr>
                <w:rFonts w:ascii="宋体" w:hAnsi="Times New Roman" w:eastAsia="宋体" w:cs="Times New Roman"/>
                <w:b/>
                <w:color w:val="000000"/>
                <w:kern w:val="2"/>
                <w:sz w:val="20"/>
                <w:szCs w:val="20"/>
                <w:lang w:val="en-US" w:eastAsia="zh-CN" w:bidi="ar-SA"/>
              </w:rPr>
            </w:pPr>
            <w:r>
              <w:rPr>
                <w:sz w:val="21"/>
                <w:szCs w:val="21"/>
              </w:rPr>
              <w:t>15131735550</w:t>
            </w:r>
          </w:p>
        </w:tc>
        <w:tc>
          <w:tcPr>
            <w:tcW w:w="954"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75" w:type="dxa"/>
            <w:gridSpan w:val="3"/>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96" w:type="dxa"/>
            <w:vAlign w:val="top"/>
          </w:tcPr>
          <w:p>
            <w:pPr>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解军威</w:t>
            </w:r>
          </w:p>
        </w:tc>
        <w:tc>
          <w:tcPr>
            <w:tcW w:w="1362"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646" w:type="dxa"/>
            <w:gridSpan w:val="2"/>
            <w:vAlign w:val="top"/>
          </w:tcPr>
          <w:p>
            <w:pPr>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韩庆伟</w:t>
            </w:r>
          </w:p>
        </w:tc>
        <w:tc>
          <w:tcPr>
            <w:tcW w:w="954" w:type="dxa"/>
            <w:vAlign w:val="top"/>
          </w:tcPr>
          <w:p>
            <w:pPr>
              <w:jc w:val="center"/>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75" w:type="dxa"/>
            <w:gridSpan w:val="3"/>
            <w:vAlign w:val="top"/>
          </w:tcPr>
          <w:p>
            <w:pPr>
              <w:rPr>
                <w:rFonts w:hint="default" w:ascii="宋体" w:hAnsi="Times New Roman" w:eastAsia="宋体" w:cs="Times New Roman"/>
                <w:b/>
                <w:color w:val="000000"/>
                <w:kern w:val="2"/>
                <w:sz w:val="20"/>
                <w:szCs w:val="20"/>
                <w:lang w:val="en-US" w:eastAsia="zh-CN" w:bidi="ar-SA"/>
              </w:rPr>
            </w:pPr>
            <w:r>
              <w:rPr>
                <w:sz w:val="21"/>
                <w:szCs w:val="21"/>
              </w:rPr>
              <w:t>15131735550</w:t>
            </w:r>
            <w:r>
              <w:rPr>
                <w:rFonts w:hint="default" w:ascii="Times New Roman" w:hAnsi="Times New Roman" w:cs="Times New Roman"/>
                <w:b w:val="0"/>
                <w:bCs w:val="0"/>
                <w:sz w:val="21"/>
                <w:szCs w:val="21"/>
              </w:rPr>
              <w:t>@1</w:t>
            </w:r>
            <w:r>
              <w:rPr>
                <w:rFonts w:hint="eastAsia" w:cs="Times New Roman"/>
                <w:b w:val="0"/>
                <w:bCs w:val="0"/>
                <w:sz w:val="21"/>
                <w:szCs w:val="21"/>
                <w:lang w:val="en-US" w:eastAsia="zh-CN"/>
              </w:rPr>
              <w:t>39</w:t>
            </w:r>
            <w:r>
              <w:rPr>
                <w:rFonts w:hint="default" w:ascii="Times New Roman" w:hAnsi="Times New Roman" w:cs="Times New Roman"/>
                <w:b w:val="0"/>
                <w:bCs w:val="0"/>
                <w:sz w:val="21"/>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133" w:type="dxa"/>
            <w:gridSpan w:val="8"/>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u w:val="single"/>
                <w:lang w:val="en-GB" w:eastAsia="zh-CN"/>
              </w:rPr>
            </w:pPr>
            <w:bookmarkStart w:id="1" w:name="审核范围"/>
            <w:r>
              <w:rPr>
                <w:b w:val="0"/>
                <w:bCs w:val="0"/>
                <w:sz w:val="21"/>
                <w:szCs w:val="21"/>
              </w:rPr>
              <w:t>通讯线路铁件、塑料管材、皮线光缆保护盒、通讯箱体、井具、木杆、水泥标志桩、钢管、跳线、五金电料、钢材、电子产品的销售</w:t>
            </w:r>
            <w:bookmarkEnd w:id="1"/>
            <w:r>
              <w:rPr>
                <w:b w:val="0"/>
                <w:bCs w:val="0"/>
                <w:sz w:val="21"/>
                <w:szCs w:val="21"/>
              </w:rPr>
              <w:t>及其场所所涉及的职业健康安全管理活动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508"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sz w:val="20"/>
                <w:szCs w:val="20"/>
                <w:lang w:eastAsia="zh-CN"/>
              </w:rPr>
            </w:pPr>
            <w:r>
              <w:rPr>
                <w:b w:val="0"/>
                <w:bCs/>
                <w:color w:val="000000"/>
                <w:sz w:val="20"/>
                <w:szCs w:val="20"/>
              </w:rPr>
              <w:t>29.12.00</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3508"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9</w:t>
            </w:r>
            <w:r>
              <w:rPr>
                <w:rFonts w:hint="default" w:ascii="Times New Roman" w:hAnsi="Times New Roman" w:cs="Times New Roman"/>
                <w:b w:val="0"/>
                <w:bCs/>
                <w:color w:val="000000"/>
                <w:sz w:val="20"/>
                <w:szCs w:val="20"/>
                <w:lang w:val="en-US" w:eastAsia="zh-CN"/>
              </w:rPr>
              <w:t>月1日</w:t>
            </w:r>
          </w:p>
        </w:tc>
        <w:tc>
          <w:tcPr>
            <w:tcW w:w="2250"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375"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133" w:type="dxa"/>
            <w:gridSpan w:val="8"/>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133" w:type="dxa"/>
            <w:gridSpan w:val="8"/>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sz w:val="21"/>
                <w:szCs w:val="21"/>
                <w:lang w:val="en-US" w:eastAsia="zh-CN"/>
              </w:rPr>
              <w:t>供销部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4"/>
        <w:gridCol w:w="1317"/>
        <w:gridCol w:w="1258"/>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31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25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229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b w:val="0"/>
                <w:bCs w:val="0"/>
                <w:sz w:val="21"/>
                <w:szCs w:val="21"/>
              </w:rPr>
              <w:t>通讯线路铁件、塑料管材、皮线光缆保护盒、通讯箱体、井具、木杆、水泥标志桩、钢管、跳线、五金电料、钢材、电子产品的销售</w:t>
            </w:r>
          </w:p>
        </w:tc>
        <w:tc>
          <w:tcPr>
            <w:tcW w:w="131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0"/>
                <w:lang w:val="en-US" w:eastAsia="zh-CN"/>
              </w:rPr>
              <w:t>/</w:t>
            </w:r>
          </w:p>
        </w:tc>
        <w:tc>
          <w:tcPr>
            <w:tcW w:w="125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229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职业健康安全</w:t>
            </w:r>
            <w:r>
              <w:rPr>
                <w:rFonts w:hint="eastAsia"/>
              </w:rPr>
              <w:t>管理体系有关的相关方包括顾客、政府机构、社区、股东、供应商、内部员工等。相关方对企业的要求有：遵守国家的现行法律法规、保持有效的资质、对环境无重大污染、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rPr>
              <w:t>质量为本、规范经营、安全第一、保障健康、遵纪守法、持续改进</w:t>
            </w:r>
            <w:r>
              <w:rPr>
                <w:rFonts w:hint="eastAsia" w:cs="宋体"/>
                <w:szCs w:val="22"/>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供销部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 xml:space="preserve">，不适用理由：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办公室/供销部根据部门所涉及的危险源进行识别，并评价出重大危险源，提供重大危险源评价记录，目前危险源识别基本完整，评价的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触电、火灾</w:t>
            </w:r>
            <w:r>
              <w:rPr>
                <w:rFonts w:hint="eastAsia"/>
                <w:u w:val="none" w:color="auto"/>
                <w:lang w:eastAsia="zh-CN"/>
              </w:rPr>
              <w:t>、</w:t>
            </w:r>
            <w:r>
              <w:rPr>
                <w:rFonts w:hint="eastAsia"/>
                <w:u w:val="none" w:color="auto"/>
                <w:lang w:val="en-US" w:eastAsia="zh-CN"/>
              </w:rPr>
              <w:t>交通事故</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rPr>
            </w:pPr>
            <w:r>
              <w:rPr>
                <w:rFonts w:hint="eastAsia" w:cs="宋体"/>
              </w:rPr>
              <w:t>公司职业健康安全指标：1.杜绝死亡、重伤事故、火灾事故；2.轻伤事故每年不超过3起；3.杜绝职业病的发生。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lang w:val="en-US" w:eastAsia="zh-CN"/>
              </w:rPr>
              <w:t>2019年4季度目标考核记录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rPr>
              <w:t>配备</w:t>
            </w:r>
            <w:r>
              <w:rPr>
                <w:rFonts w:hint="eastAsia"/>
                <w:sz w:val="21"/>
                <w:szCs w:val="21"/>
              </w:rPr>
              <w:t>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cs="Times New Roman"/>
                <w:sz w:val="21"/>
                <w:szCs w:val="21"/>
                <w:lang w:val="en-US" w:eastAsia="zh-CN"/>
              </w:rPr>
              <w:t>10</w:t>
            </w:r>
            <w:r>
              <w:rPr>
                <w:rFonts w:hint="default" w:ascii="Times New Roman" w:hAnsi="Times New Roman" w:cs="Times New Roman"/>
                <w:sz w:val="21"/>
                <w:szCs w:val="21"/>
              </w:rPr>
              <w:t>0平米；</w:t>
            </w:r>
            <w:r>
              <w:rPr>
                <w:rFonts w:hint="eastAsia" w:cs="Times New Roman"/>
                <w:sz w:val="21"/>
                <w:szCs w:val="21"/>
                <w:lang w:val="en-US" w:eastAsia="zh-CN"/>
              </w:rPr>
              <w:t>库房2</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仓储</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b/>
                <w:color w:val="000000" w:themeColor="text1"/>
                <w:sz w:val="20"/>
                <w:szCs w:val="20"/>
                <w:lang w:val="en-US"/>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w:t>
            </w:r>
            <w:r>
              <w:rPr>
                <w:rFonts w:hint="eastAsia"/>
                <w:u w:val="none" w:color="auto"/>
                <w:lang w:val="en-US" w:eastAsia="zh-CN"/>
              </w:rPr>
              <w:t>ISO45001：2018《职业健康安全管理体系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警示牌、灭火器、手套、安全帽、口罩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rPr>
              <w:t>质量为本、规范经营、安全第一、保障健康、遵纪守法、持续改进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ind w:firstLine="402" w:firstLineChars="2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(应说明相关证据)：</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b/>
                <w:color w:val="000000" w:themeColor="text1"/>
                <w:sz w:val="20"/>
                <w:szCs w:val="20"/>
              </w:rPr>
            </w:pPr>
            <w:r>
              <w:rPr>
                <w:rFonts w:hint="eastAsia"/>
                <w:b/>
                <w:color w:val="000000" w:themeColor="text1"/>
                <w:sz w:val="20"/>
                <w:szCs w:val="20"/>
              </w:rPr>
              <w:t>（附相关证据）：</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查看办公区域干净整洁，</w:t>
            </w:r>
            <w:r>
              <w:rPr>
                <w:rFonts w:hint="eastAsia"/>
                <w:b w:val="0"/>
                <w:bCs w:val="0"/>
                <w:sz w:val="21"/>
                <w:szCs w:val="21"/>
                <w:lang w:val="en-US" w:eastAsia="zh-CN"/>
              </w:rPr>
              <w:t>但未</w:t>
            </w:r>
            <w:r>
              <w:rPr>
                <w:rFonts w:hint="eastAsia"/>
                <w:b w:val="0"/>
                <w:bCs w:val="0"/>
                <w:sz w:val="21"/>
                <w:szCs w:val="21"/>
              </w:rPr>
              <w:t>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9年12月7-8日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2019</w:t>
            </w:r>
            <w:r>
              <w:rPr>
                <w:rFonts w:hint="eastAsia" w:cs="宋体"/>
              </w:rPr>
              <w:t>年</w:t>
            </w:r>
            <w:r>
              <w:rPr>
                <w:rFonts w:hint="eastAsia"/>
                <w:lang w:val="en-US" w:eastAsia="zh-CN"/>
              </w:rPr>
              <w:t>12</w:t>
            </w:r>
            <w:r>
              <w:rPr>
                <w:rFonts w:hint="eastAsia" w:cs="宋体"/>
              </w:rPr>
              <w:t>月</w:t>
            </w:r>
            <w:r>
              <w:rPr>
                <w:rFonts w:hint="eastAsia" w:cs="宋体"/>
                <w:lang w:val="en-US" w:eastAsia="zh-CN"/>
              </w:rPr>
              <w:t>3</w:t>
            </w:r>
            <w:r>
              <w:rPr>
                <w:rFonts w:hint="eastAsia"/>
                <w:lang w:val="en-US" w:eastAsia="zh-CN"/>
              </w:rPr>
              <w:t>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办公室8.2条款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rFonts w:hint="eastAsia"/>
          <w:b/>
          <w:color w:val="000000" w:themeColor="text1"/>
          <w:sz w:val="26"/>
          <w:szCs w:val="26"/>
        </w:rPr>
      </w:pP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keepNext w:val="0"/>
              <w:keepLines w:val="0"/>
              <w:pageBreakBefore w:val="0"/>
              <w:widowControl w:val="0"/>
              <w:kinsoku/>
              <w:wordWrap/>
              <w:overflowPunct/>
              <w:topLinePunct w:val="0"/>
              <w:bidi w:val="0"/>
              <w:spacing w:line="360" w:lineRule="exact"/>
              <w:ind w:firstLine="442" w:firstLineChars="200"/>
              <w:textAlignment w:val="auto"/>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任丘市鸿通通讯器材有限公司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cs="宋体"/>
                <w:b/>
                <w:color w:val="auto"/>
                <w:sz w:val="21"/>
                <w:szCs w:val="21"/>
                <w:lang w:eastAsia="zh-CN"/>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keepNext w:val="0"/>
              <w:keepLines w:val="0"/>
              <w:pageBreakBefore w:val="0"/>
              <w:widowControl w:val="0"/>
              <w:kinsoku/>
              <w:wordWrap/>
              <w:overflowPunct/>
              <w:topLinePunct w:val="0"/>
              <w:bidi w:val="0"/>
              <w:spacing w:line="360" w:lineRule="exact"/>
              <w:textAlignment w:val="auto"/>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rPr>
            </w:pPr>
            <w:r>
              <w:rPr>
                <w:rFonts w:hint="eastAsia"/>
                <w:b/>
                <w:color w:val="000000" w:themeColor="text1"/>
              </w:rPr>
              <w:t>2.对审核范围适宜性结论</w:t>
            </w:r>
          </w:p>
          <w:p>
            <w:pPr>
              <w:keepNext w:val="0"/>
              <w:keepLines w:val="0"/>
              <w:pageBreakBefore w:val="0"/>
              <w:widowControl w:val="0"/>
              <w:kinsoku/>
              <w:wordWrap/>
              <w:overflowPunct/>
              <w:topLinePunct w:val="0"/>
              <w:bidi w:val="0"/>
              <w:spacing w:line="360" w:lineRule="exact"/>
              <w:textAlignment w:val="auto"/>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keepNext w:val="0"/>
              <w:keepLines w:val="0"/>
              <w:pageBreakBefore w:val="0"/>
              <w:widowControl w:val="0"/>
              <w:kinsoku/>
              <w:wordWrap/>
              <w:overflowPunct/>
              <w:topLinePunct w:val="0"/>
              <w:bidi w:val="0"/>
              <w:spacing w:line="360" w:lineRule="exact"/>
              <w:textAlignment w:val="auto"/>
              <w:rPr>
                <w:b w:val="0"/>
                <w:bCs w:val="0"/>
                <w:sz w:val="21"/>
                <w:szCs w:val="21"/>
              </w:rPr>
            </w:pPr>
            <w:r>
              <w:rPr>
                <w:b w:val="0"/>
                <w:bCs w:val="0"/>
                <w:sz w:val="21"/>
                <w:szCs w:val="21"/>
              </w:rPr>
              <w:t>通讯线路铁件、塑料管材、皮线光缆保护盒、通讯箱体、井具、木杆、水泥标志桩、钢管、跳线、五金电料、钢材、电子产品的销售及其场所所涉及的职业健康安全管理活动</w:t>
            </w:r>
          </w:p>
          <w:p>
            <w:pPr>
              <w:keepNext w:val="0"/>
              <w:keepLines w:val="0"/>
              <w:pageBreakBefore w:val="0"/>
              <w:widowControl w:val="0"/>
              <w:kinsoku/>
              <w:wordWrap/>
              <w:overflowPunct/>
              <w:topLinePunct w:val="0"/>
              <w:bidi w:val="0"/>
              <w:spacing w:line="360" w:lineRule="exact"/>
              <w:textAlignment w:val="auto"/>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keepNext w:val="0"/>
              <w:keepLines w:val="0"/>
              <w:pageBreakBefore w:val="0"/>
              <w:widowControl w:val="0"/>
              <w:kinsoku/>
              <w:wordWrap/>
              <w:overflowPunct/>
              <w:topLinePunct w:val="0"/>
              <w:bidi w:val="0"/>
              <w:spacing w:line="360" w:lineRule="exact"/>
              <w:textAlignment w:val="auto"/>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napToGrid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napToGrid w:val="0"/>
              <w:spacing w:line="360" w:lineRule="exact"/>
              <w:textAlignment w:val="auto"/>
              <w:rPr>
                <w:rFonts w:hint="eastAsia"/>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p>
            <w:pPr>
              <w:keepNext w:val="0"/>
              <w:keepLines w:val="0"/>
              <w:pageBreakBefore w:val="0"/>
              <w:widowControl w:val="0"/>
              <w:kinsoku/>
              <w:wordWrap/>
              <w:overflowPunct/>
              <w:topLinePunct w:val="0"/>
              <w:bidi w:val="0"/>
              <w:snapToGrid w:val="0"/>
              <w:spacing w:line="360" w:lineRule="exact"/>
              <w:textAlignment w:val="auto"/>
              <w:rPr>
                <w:rFonts w:hint="eastAsia"/>
                <w:b/>
                <w:color w:val="000000" w:themeColor="text1"/>
                <w:spacing w:val="-10"/>
                <w:sz w:val="16"/>
                <w:szCs w:val="16"/>
              </w:rPr>
            </w:pPr>
          </w:p>
        </w:tc>
      </w:tr>
    </w:tbl>
    <w:p>
      <w:pPr>
        <w:keepNext w:val="0"/>
        <w:keepLines w:val="0"/>
        <w:pageBreakBefore w:val="0"/>
        <w:numPr>
          <w:ilvl w:val="0"/>
          <w:numId w:val="9"/>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 w:leftChars="-405" w:hanging="851" w:hangingChars="326"/>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1537970</wp:posOffset>
            </wp:positionH>
            <wp:positionV relativeFrom="paragraph">
              <wp:posOffset>173355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default" w:ascii="Times New Roman" w:hAnsi="Times New Roman" w:cs="Times New Roman"/>
          <w:b/>
          <w:color w:val="000000" w:themeColor="text1"/>
          <w:lang w:val="en-US" w:eastAsia="zh-CN"/>
        </w:rPr>
        <w:t>2020</w:t>
      </w:r>
      <w:r>
        <w:rPr>
          <w:rFonts w:hint="default" w:ascii="Times New Roman" w:hAnsi="Times New Roman" w:cs="Times New Roman" w:eastAsiaTheme="minorEastAsia"/>
          <w:b/>
          <w:color w:val="000000" w:themeColor="text1"/>
        </w:rPr>
        <w:t>年</w:t>
      </w:r>
      <w:r>
        <w:rPr>
          <w:rFonts w:hint="default" w:ascii="Times New Roman" w:hAnsi="Times New Roman" w:cs="Times New Roman" w:eastAsiaTheme="minorEastAsia"/>
          <w:b/>
          <w:color w:val="000000" w:themeColor="text1"/>
          <w:lang w:val="en-US" w:eastAsia="zh-CN"/>
        </w:rPr>
        <w:t>3</w:t>
      </w:r>
      <w:r>
        <w:rPr>
          <w:rFonts w:hint="default" w:ascii="Times New Roman" w:hAnsi="Times New Roman" w:cs="Times New Roman" w:eastAsiaTheme="minorEastAsia"/>
          <w:b/>
          <w:color w:val="000000" w:themeColor="text1"/>
        </w:rPr>
        <w:t>月</w:t>
      </w:r>
      <w:r>
        <w:rPr>
          <w:rFonts w:hint="default" w:ascii="Times New Roman" w:hAnsi="Times New Roman" w:cs="Times New Roman" w:eastAsiaTheme="minorEastAsia"/>
          <w:b/>
          <w:color w:val="000000" w:themeColor="text1"/>
          <w:lang w:val="en-US" w:eastAsia="zh-CN"/>
        </w:rPr>
        <w:t>30</w:t>
      </w:r>
      <w:r>
        <w:rPr>
          <w:rFonts w:hint="default" w:ascii="Times New Roman" w:hAnsi="Times New Roman" w:cs="Times New Roman" w:eastAsiaTheme="minorEastAsia"/>
          <w:b/>
          <w:color w:val="000000" w:themeColor="text1"/>
        </w:rPr>
        <w:t>日</w:t>
      </w:r>
    </w:p>
    <w:p>
      <w:pPr>
        <w:keepNext w:val="0"/>
        <w:keepLines w:val="0"/>
        <w:pageBreakBefore w:val="0"/>
        <w:widowControl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 xml:space="preserve">  </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 xml:space="preserve">1 </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widowControl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widowControl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3</w:t>
      </w:r>
      <w:bookmarkStart w:id="4" w:name="_GoBack"/>
      <w:bookmarkEnd w:id="4"/>
      <w:r>
        <w:rPr>
          <w:rFonts w:hint="eastAsia"/>
          <w:b/>
          <w:color w:val="000000" w:themeColor="text1"/>
          <w:szCs w:val="21"/>
          <w:lang w:val="en-US" w:eastAsia="zh-CN"/>
        </w:rPr>
        <w:t>1</w:t>
      </w:r>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3"/>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364440EF"/>
    <w:multiLevelType w:val="singleLevel"/>
    <w:tmpl w:val="364440EF"/>
    <w:lvl w:ilvl="0" w:tentative="0">
      <w:start w:val="11"/>
      <w:numFmt w:val="chineseCounting"/>
      <w:suff w:val="nothing"/>
      <w:lvlText w:val="%1、"/>
      <w:lvlJc w:val="left"/>
      <w:rPr>
        <w:rFonts w:hint="eastAsia"/>
      </w:r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7BC294AD"/>
    <w:multiLevelType w:val="singleLevel"/>
    <w:tmpl w:val="7BC294AD"/>
    <w:lvl w:ilvl="0" w:tentative="0">
      <w:start w:val="5"/>
      <w:numFmt w:val="decimal"/>
      <w:suff w:val="space"/>
      <w:lvlText w:val="%1."/>
      <w:lvlJc w:val="left"/>
    </w:lvl>
  </w:abstractNum>
  <w:num w:numId="1">
    <w:abstractNumId w:val="5"/>
  </w:num>
  <w:num w:numId="2">
    <w:abstractNumId w:val="2"/>
  </w:num>
  <w:num w:numId="3">
    <w:abstractNumId w:val="6"/>
  </w:num>
  <w:num w:numId="4">
    <w:abstractNumId w:val="0"/>
  </w:num>
  <w:num w:numId="5">
    <w:abstractNumId w:val="3"/>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BA13DE9"/>
    <w:rsid w:val="18D77FE3"/>
    <w:rsid w:val="1C440198"/>
    <w:rsid w:val="21611269"/>
    <w:rsid w:val="229447B7"/>
    <w:rsid w:val="22DF6A1C"/>
    <w:rsid w:val="237945B7"/>
    <w:rsid w:val="262038F9"/>
    <w:rsid w:val="29A9333B"/>
    <w:rsid w:val="29E70823"/>
    <w:rsid w:val="343254D4"/>
    <w:rsid w:val="36CF437D"/>
    <w:rsid w:val="372F4304"/>
    <w:rsid w:val="3AFE3AFE"/>
    <w:rsid w:val="3C6210A8"/>
    <w:rsid w:val="3F9B4A9B"/>
    <w:rsid w:val="4B4A3A22"/>
    <w:rsid w:val="57A97EAC"/>
    <w:rsid w:val="5CDD1C2D"/>
    <w:rsid w:val="5EE07356"/>
    <w:rsid w:val="63AC6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6392</Words>
  <Characters>7075</Characters>
  <Lines>36</Lines>
  <Paragraphs>10</Paragraphs>
  <TotalTime>7</TotalTime>
  <ScaleCrop>false</ScaleCrop>
  <LinksUpToDate>false</LinksUpToDate>
  <CharactersWithSpaces>7403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2020-03-31T05:08:23Z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