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265"/>
        <w:gridCol w:w="1288"/>
        <w:gridCol w:w="6"/>
        <w:gridCol w:w="567"/>
        <w:gridCol w:w="1242"/>
        <w:gridCol w:w="75"/>
        <w:gridCol w:w="101"/>
        <w:gridCol w:w="589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任丘市鸿通通讯器材有限公司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  <w:t>任丘市麻家坞镇南马庄村东北侧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958" w:type="dxa"/>
            <w:gridSpan w:val="5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韩庆伟</w:t>
            </w:r>
            <w:bookmarkEnd w:id="2"/>
          </w:p>
        </w:tc>
        <w:tc>
          <w:tcPr>
            <w:tcW w:w="1288" w:type="dxa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15131735550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061000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958" w:type="dxa"/>
            <w:gridSpan w:val="5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解军威</w:t>
            </w:r>
          </w:p>
        </w:tc>
        <w:tc>
          <w:tcPr>
            <w:tcW w:w="1288" w:type="dxa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bookmarkStart w:id="7" w:name="联系人邮箱"/>
            <w:bookmarkEnd w:id="7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15131735550@139.com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2958" w:type="dxa"/>
            <w:gridSpan w:val="5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bookmarkStart w:id="8" w:name="合同编号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0034-2020-O</w:t>
            </w:r>
            <w:bookmarkEnd w:id="8"/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bookmarkStart w:id="9" w:name="Q勾选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□</w:t>
            </w:r>
            <w:bookmarkEnd w:id="9"/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□</w:t>
            </w:r>
            <w:bookmarkEnd w:id="10"/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■</w:t>
            </w:r>
            <w:bookmarkEnd w:id="11"/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12" w:name="审核类型ZB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职业健康安全管理体系：初次认证第（二）阶段</w:t>
            </w:r>
            <w:bookmarkEnd w:id="12"/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88" w:leftChars="-51" w:hanging="210" w:hangingChars="100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□对被暂停客户进行跟踪审核，验证被暂停原因是否已消除，以确定是否恢复认证注册资格。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bookmarkStart w:id="17" w:name="_GoBack"/>
            <w:bookmarkStart w:id="13" w:name="审核范围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通讯线路铁件、塑料管材、皮线光缆保护盒、通讯箱体、井具、木杆、水泥标志桩、钢管、跳线、五金电料、钢材、电子产品的销售</w:t>
            </w:r>
            <w:bookmarkEnd w:id="13"/>
            <w:r>
              <w:rPr>
                <w:b w:val="0"/>
                <w:bCs w:val="0"/>
                <w:sz w:val="21"/>
                <w:szCs w:val="21"/>
              </w:rPr>
              <w:t>及其场所所涉及的职业健康安全管理活动</w:t>
            </w:r>
            <w:bookmarkEnd w:id="17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bookmarkStart w:id="14" w:name="专业代码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ISO 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审核于</w:t>
            </w:r>
            <w:bookmarkStart w:id="16" w:name="审核日期安排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2020年03月30日 上午至2020年03月30日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178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审核员</w:t>
            </w:r>
          </w:p>
        </w:tc>
        <w:tc>
          <w:tcPr>
            <w:tcW w:w="3178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tcBorders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749300" cy="360680"/>
                  <wp:effectExtent l="0" t="0" r="0" b="0"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01" w:type="dxa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2020.3.26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2020.3.29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2020.3.29</w:t>
            </w:r>
          </w:p>
        </w:tc>
      </w:tr>
    </w:tbl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72"/>
        <w:gridCol w:w="654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4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2020.3.30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8:00- 8:30</w:t>
            </w:r>
          </w:p>
        </w:tc>
        <w:tc>
          <w:tcPr>
            <w:tcW w:w="654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8:30-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4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管理层：组织及其环境；相关方的需求和希望；管理体系的范围；管理体系及其过程；领导作用和承诺；管理方针；组织的岗位、职责权限；应对风险和机会的策划；目标和实现计划；资源提供；危险源辨识、风险评价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法律法规；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沟通、参与、协商；合规性评价；监视和测量总则；管理评审；总则；持续改进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4.1/4.2/4.3/4.4/5.1.1/5.1.2/5.2/5.3/6.1/6.2/6.3/7.1/9.1.1/9.3/10.1/10.3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4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：组织的岗位、职责权限；目标、指标管理方案；危险源识别评价；文件化信息；人员；能力；意识；沟通；运行控制；应急准备和响应；法律法规要求；绩效的监视和测量；合规性评价；事件、不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符合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及纠正措施；内部审核</w:t>
            </w:r>
          </w:p>
          <w:p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涉及条款：5.3/5.4/6.2/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6.1.2/6.1.3/7.2/7.3/7.4/7.5/8.1/8.2/9.1/9.2/10.2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654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部：组织的岗位、职责权限；目标；危险源辨识、风险评价和控制措施的确定；运行控制；应急准备和响应</w:t>
            </w:r>
          </w:p>
          <w:p>
            <w:pPr>
              <w:spacing w:line="36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5.3/6.2/6.1.2/8.1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</w:tc>
        <w:tc>
          <w:tcPr>
            <w:tcW w:w="654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196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654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12：00-13：00为午休时间。</w:t>
            </w:r>
          </w:p>
        </w:tc>
        <w:tc>
          <w:tcPr>
            <w:tcW w:w="1196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980311"/>
    <w:rsid w:val="47E17E57"/>
    <w:rsid w:val="77C80E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2020-03-28T10:35:34Z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