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1029-2021-EnMs-2023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南通市展成商品混凝土有限公司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91320682553757337J</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南通市展成商品混凝土有限公司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如皋市长江镇蒲黄路58号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江苏省如皋市长江镇蒲黄路58号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商品混凝土的研发、生产和售后服务所涉及的能源管理活动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南通市展成商品混凝土有限公司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如皋市长江镇蒲黄路58号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江苏省如皋市长江镇蒲黄路58号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商品混凝土的研发、生产和售后服务所涉及的能源管理活动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R197EnMS210044</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江苏省如皋市长江镇蒲黄路58号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