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太原市聚尼耐磨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9 8:30:00上午至2023-08-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太原市尖草坪区向阳镇向阳村百发建材市场2号车间南跨西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太原市尖草坪区向阳镇向阳村百发建材市场2号车间南跨西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0日 上午至2023年08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