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1015-2022-Q-2023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北京中海远通物流有限公司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ISC-JSZJ-033</w:t>
            </w:r>
          </w:p>
          <w:p w:rsidR="00F9189D">
            <w:pPr>
              <w:spacing w:line="360" w:lineRule="auto"/>
              <w:jc w:val="center"/>
              <w:rPr>
                <w:b/>
                <w:szCs w:val="21"/>
              </w:rPr>
            </w:pPr>
            <w:r>
              <w:rPr>
                <w:b/>
                <w:szCs w:val="21"/>
              </w:rPr>
              <w:t>北京宝恒通物流有限责任公司</w:t>
            </w:r>
          </w:p>
        </w:tc>
        <w:tc>
          <w:tcPr>
            <w:tcW w:w="3145" w:type="dxa"/>
            <w:vAlign w:val="center"/>
          </w:tcPr>
          <w:p w:rsidR="00F9189D">
            <w:pPr>
              <w:spacing w:line="360" w:lineRule="auto"/>
              <w:jc w:val="center"/>
              <w:rPr>
                <w:b/>
                <w:szCs w:val="21"/>
              </w:rPr>
            </w:pPr>
            <w:r>
              <w:rPr>
                <w:b/>
                <w:szCs w:val="21"/>
              </w:rPr>
              <w:t>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2023年08月22日 上午至2023年08月22日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北京市怀柔区雁栖镇陈各庄村73号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北京市昌平区阳坊镇极东产业园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