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10478-2023-EnMS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山西盛达威科技有限公司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宋翠琳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宋翠琳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2022-N1EnMS-1082241</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2023年08月15日 下午至2023年08月18日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山西文水经济开发区东庄产业园区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吕梁市文水县西城乡西城村正东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