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附录A</w:t>
      </w:r>
    </w:p>
    <w:p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接箍表面硬度检测</w:t>
      </w:r>
      <w:r>
        <w:rPr>
          <w:rFonts w:hint="eastAsia"/>
          <w:b/>
          <w:sz w:val="28"/>
          <w:szCs w:val="28"/>
        </w:rPr>
        <w:t>过程测量不确定度评定</w:t>
      </w:r>
    </w:p>
    <w:p>
      <w:pPr>
        <w:spacing w:line="360" w:lineRule="exact"/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18"/>
          <w:szCs w:val="18"/>
        </w:rPr>
        <w:t xml:space="preserve">                                             </w:t>
      </w:r>
    </w:p>
    <w:p>
      <w:pPr>
        <w:spacing w:line="360" w:lineRule="auto"/>
        <w:rPr>
          <w:color w:val="000000"/>
          <w:sz w:val="24"/>
        </w:rPr>
      </w:pPr>
      <w:r>
        <w:rPr>
          <w:b/>
          <w:bCs/>
          <w:color w:val="000000"/>
          <w:sz w:val="24"/>
        </w:rPr>
        <w:t>1、测量过程</w:t>
      </w:r>
      <w:r>
        <w:rPr>
          <w:color w:val="000000"/>
          <w:sz w:val="24"/>
        </w:rPr>
        <w:br w:type="textWrapping"/>
      </w:r>
      <w:r>
        <w:rPr>
          <w:color w:val="000000"/>
          <w:sz w:val="24"/>
        </w:rPr>
        <w:t>1.1、测量方法：</w:t>
      </w:r>
      <w:r>
        <w:rPr>
          <w:sz w:val="24"/>
        </w:rPr>
        <w:t>依据GB/T230.1-2018《金属材料洛氏硬度试验第1部分试验方法》及仪器使用说明书和相关操作规范。</w:t>
      </w:r>
      <w:r>
        <w:rPr>
          <w:color w:val="000000"/>
          <w:sz w:val="24"/>
        </w:rPr>
        <w:t>　　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1.2、环境条件：温度：（20-25）℃,湿度&lt;80%RH。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1.3、检测设备：洛氏硬度计</w:t>
      </w:r>
      <w:r>
        <w:rPr>
          <w:rFonts w:hint="eastAsia"/>
          <w:color w:val="000000"/>
          <w:sz w:val="24"/>
          <w:lang w:val="en-US" w:eastAsia="zh-CN"/>
        </w:rPr>
        <w:t>HR-150A</w:t>
      </w:r>
      <w:r>
        <w:rPr>
          <w:color w:val="000000"/>
          <w:sz w:val="24"/>
        </w:rPr>
        <w:t>, （20～88)HRA</w:t>
      </w:r>
      <w:r>
        <w:rPr>
          <w:rFonts w:hint="eastAsia"/>
          <w:color w:val="000000"/>
          <w:sz w:val="24"/>
          <w:lang w:val="en-US" w:eastAsia="zh-CN"/>
        </w:rPr>
        <w:t xml:space="preserve"> </w:t>
      </w:r>
      <w:r>
        <w:rPr>
          <w:color w:val="000000"/>
          <w:sz w:val="24"/>
        </w:rPr>
        <w:t>±1.5HRA；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1.4、被测对象：表面硬度，(56~68)HRA。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1.5、测量过程：</w:t>
      </w:r>
      <w:r>
        <w:rPr>
          <w:sz w:val="24"/>
        </w:rPr>
        <w:t>硬度采用直接测量法，将被测物体置于平台上，将硬度计压头压入工件，硬度计显示被测量数据。</w:t>
      </w:r>
    </w:p>
    <w:p>
      <w:pPr>
        <w:snapToGrid w:val="0"/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2、数学模型</w:t>
      </w:r>
    </w:p>
    <w:p>
      <w:pPr>
        <w:spacing w:line="360" w:lineRule="auto"/>
        <w:ind w:left="360" w:firstLine="1680" w:firstLineChars="700"/>
        <w:rPr>
          <w:color w:val="000000"/>
          <w:sz w:val="24"/>
        </w:rPr>
      </w:pPr>
      <w:r>
        <w:rPr>
          <w:i/>
          <w:color w:val="000000"/>
          <w:sz w:val="24"/>
        </w:rPr>
        <w:t>y</w:t>
      </w:r>
      <w:r>
        <w:rPr>
          <w:iCs/>
          <w:color w:val="000000"/>
          <w:sz w:val="24"/>
        </w:rPr>
        <w:t>＝</w:t>
      </w:r>
      <w:r>
        <w:rPr>
          <w:i/>
          <w:color w:val="000000"/>
          <w:sz w:val="24"/>
        </w:rPr>
        <w:t>x</w:t>
      </w:r>
      <w:r>
        <w:rPr>
          <w:iCs/>
          <w:color w:val="000000"/>
          <w:sz w:val="24"/>
        </w:rPr>
        <w:t>+</w:t>
      </w:r>
      <w:r>
        <w:rPr>
          <w:rFonts w:ascii="Cambria Math" w:hAnsi="Cambria Math" w:cs="Cambria Math"/>
          <w:i/>
          <w:color w:val="000000"/>
          <w:sz w:val="24"/>
        </w:rPr>
        <w:t>△</w:t>
      </w:r>
      <w:r>
        <w:rPr>
          <w:i/>
          <w:color w:val="000000"/>
          <w:sz w:val="24"/>
        </w:rPr>
        <w:t xml:space="preserve">y                     </w:t>
      </w:r>
      <w:r>
        <w:rPr>
          <w:color w:val="000000"/>
          <w:sz w:val="24"/>
        </w:rPr>
        <w:t>（1）</w:t>
      </w:r>
    </w:p>
    <w:p>
      <w:pPr>
        <w:spacing w:line="360" w:lineRule="auto"/>
        <w:ind w:firstLine="1200" w:firstLineChars="500"/>
        <w:rPr>
          <w:color w:val="000000"/>
          <w:sz w:val="24"/>
        </w:rPr>
      </w:pPr>
      <w:r>
        <w:rPr>
          <w:iCs/>
          <w:color w:val="000000"/>
          <w:sz w:val="24"/>
        </w:rPr>
        <w:t>式中：</w:t>
      </w:r>
      <w:r>
        <w:rPr>
          <w:i/>
          <w:iCs/>
          <w:color w:val="000000"/>
          <w:sz w:val="24"/>
        </w:rPr>
        <w:t>y</w:t>
      </w:r>
      <w:r>
        <w:rPr>
          <w:color w:val="000000"/>
          <w:sz w:val="24"/>
        </w:rPr>
        <w:t xml:space="preserve"> ——测量结果</w:t>
      </w:r>
    </w:p>
    <w:p>
      <w:pPr>
        <w:spacing w:line="360" w:lineRule="auto"/>
        <w:ind w:left="315" w:leftChars="150" w:firstLine="1560" w:firstLineChars="650"/>
        <w:rPr>
          <w:color w:val="000000"/>
          <w:sz w:val="24"/>
        </w:rPr>
      </w:pPr>
      <w:r>
        <w:rPr>
          <w:i/>
          <w:iCs/>
          <w:color w:val="000000"/>
          <w:sz w:val="24"/>
        </w:rPr>
        <w:t xml:space="preserve">x </w:t>
      </w:r>
      <w:r>
        <w:rPr>
          <w:color w:val="000000"/>
          <w:sz w:val="24"/>
        </w:rPr>
        <w:t>——洛氏硬度计的读数值</w:t>
      </w:r>
    </w:p>
    <w:p>
      <w:pPr>
        <w:spacing w:line="360" w:lineRule="auto"/>
        <w:ind w:left="360" w:firstLine="1440" w:firstLineChars="600"/>
        <w:rPr>
          <w:color w:val="000000"/>
          <w:sz w:val="24"/>
        </w:rPr>
      </w:pPr>
      <w:r>
        <w:rPr>
          <w:rFonts w:ascii="Cambria Math" w:hAnsi="Cambria Math" w:cs="Cambria Math"/>
          <w:i/>
          <w:iCs/>
          <w:color w:val="000000"/>
          <w:sz w:val="24"/>
        </w:rPr>
        <w:t>△</w:t>
      </w:r>
      <w:r>
        <w:rPr>
          <w:i/>
          <w:iCs/>
          <w:color w:val="000000"/>
          <w:sz w:val="24"/>
        </w:rPr>
        <w:t>y</w:t>
      </w:r>
      <w:r>
        <w:rPr>
          <w:color w:val="000000"/>
          <w:sz w:val="24"/>
        </w:rPr>
        <w:t xml:space="preserve"> ——各种因素对测量结果的影响</w:t>
      </w:r>
    </w:p>
    <w:p>
      <w:pPr>
        <w:snapToGrid w:val="0"/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3、各输入量的标准不确定度评定</w:t>
      </w:r>
    </w:p>
    <w:p>
      <w:pPr>
        <w:spacing w:line="360" w:lineRule="auto"/>
        <w:ind w:right="-449" w:rightChars="-214"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x的各影响量的大小很难用物理／数学方法分析，相互间关系也很复杂，只能用A类评定，让各影响值同时起作用，通过试验来评定它的综合影响；</w:t>
      </w:r>
      <w:r>
        <w:rPr>
          <w:i/>
          <w:iCs/>
          <w:color w:val="000000"/>
          <w:sz w:val="24"/>
        </w:rPr>
        <w:t>Δy</w:t>
      </w:r>
      <w:r>
        <w:rPr>
          <w:color w:val="000000"/>
          <w:sz w:val="24"/>
        </w:rPr>
        <w:t>的不确定度分量用B类评定。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3.1、测量重复性引起的标准不确定度</w:t>
      </w:r>
      <m:oMath>
        <m:r>
          <w:rPr>
            <w:rFonts w:ascii="Cambria Math" w:hAnsi="Cambria Math"/>
            <w:color w:val="000000"/>
            <w:sz w:val="24"/>
          </w:rPr>
          <m:t>u(x)</m:t>
        </m:r>
      </m:oMath>
      <w:r>
        <w:rPr>
          <w:color w:val="000000"/>
          <w:sz w:val="24"/>
        </w:rPr>
        <w:t>的评定</w:t>
      </w:r>
    </w:p>
    <w:p>
      <w:pPr>
        <w:spacing w:line="360" w:lineRule="auto"/>
        <w:ind w:right="-607" w:rightChars="-289"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做A类评定试验：在本实验室内，在洛氏硬度计的正常工作状态下，同一组人，用同一台设备，在相临近的时间内，对</w:t>
      </w:r>
      <w:r>
        <w:rPr>
          <w:sz w:val="24"/>
        </w:rPr>
        <w:t>硬度块</w:t>
      </w:r>
      <w:r>
        <w:rPr>
          <w:color w:val="000000"/>
          <w:sz w:val="24"/>
        </w:rPr>
        <w:t>连续测量10次，得到10个试验数据汇于表1——试验数据汇总表：</w:t>
      </w:r>
    </w:p>
    <w:p>
      <w:pPr>
        <w:spacing w:line="360" w:lineRule="auto"/>
        <w:ind w:left="180" w:right="-449" w:rightChars="-214"/>
        <w:jc w:val="center"/>
        <w:rPr>
          <w:color w:val="000000"/>
          <w:sz w:val="24"/>
        </w:rPr>
      </w:pPr>
      <w:r>
        <w:rPr>
          <w:color w:val="000000"/>
          <w:sz w:val="24"/>
        </w:rPr>
        <w:t>表1——试验数据汇总表</w:t>
      </w:r>
    </w:p>
    <w:tbl>
      <w:tblPr>
        <w:tblStyle w:val="4"/>
        <w:tblW w:w="876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50"/>
        <w:gridCol w:w="1273"/>
        <w:gridCol w:w="1256"/>
        <w:gridCol w:w="1256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125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3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88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>Xi</w:t>
            </w:r>
            <w:r>
              <w:rPr>
                <w:color w:val="000000"/>
                <w:sz w:val="24"/>
              </w:rPr>
              <w:t xml:space="preserve"> （HRA）</w:t>
            </w:r>
          </w:p>
        </w:tc>
        <w:tc>
          <w:tcPr>
            <w:tcW w:w="125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82.7</w:t>
            </w:r>
          </w:p>
        </w:tc>
        <w:tc>
          <w:tcPr>
            <w:tcW w:w="1273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82.6</w:t>
            </w: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82.7</w:t>
            </w: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82.5</w:t>
            </w:r>
          </w:p>
        </w:tc>
        <w:tc>
          <w:tcPr>
            <w:tcW w:w="1882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82.7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125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273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88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>Xi</w:t>
            </w:r>
            <w:r>
              <w:rPr>
                <w:color w:val="000000"/>
                <w:sz w:val="24"/>
              </w:rPr>
              <w:t xml:space="preserve"> （HRA）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82.5</w:t>
            </w:r>
          </w:p>
        </w:tc>
        <w:tc>
          <w:tcPr>
            <w:tcW w:w="127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82.6</w:t>
            </w:r>
          </w:p>
        </w:tc>
        <w:tc>
          <w:tcPr>
            <w:tcW w:w="125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82.6</w:t>
            </w:r>
          </w:p>
        </w:tc>
        <w:tc>
          <w:tcPr>
            <w:tcW w:w="125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82.7</w:t>
            </w:r>
          </w:p>
        </w:tc>
        <w:tc>
          <w:tcPr>
            <w:tcW w:w="188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82.5</w:t>
            </w:r>
          </w:p>
        </w:tc>
      </w:tr>
    </w:tbl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 xml:space="preserve">各测量值的平均值 </w:t>
      </w:r>
      <w:r>
        <w:rPr>
          <w:color w:val="000000"/>
          <w:position w:val="-24"/>
          <w:sz w:val="24"/>
        </w:rPr>
        <w:drawing>
          <wp:inline distT="0" distB="0" distL="0" distR="0">
            <wp:extent cx="647065" cy="620395"/>
            <wp:effectExtent l="0" t="0" r="0" b="0"/>
            <wp:docPr id="22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>≈8</w:t>
      </w:r>
      <w:r>
        <w:rPr>
          <w:rFonts w:hint="eastAsia"/>
          <w:color w:val="000000"/>
          <w:sz w:val="24"/>
          <w:lang w:val="en-US" w:eastAsia="zh-CN"/>
        </w:rPr>
        <w:t>2</w:t>
      </w:r>
      <w:r>
        <w:rPr>
          <w:color w:val="000000"/>
          <w:sz w:val="24"/>
        </w:rPr>
        <w:t xml:space="preserve">.61 </w:t>
      </w:r>
      <w:r>
        <w:rPr>
          <w:sz w:val="24"/>
        </w:rPr>
        <w:t>HRA</w:t>
      </w:r>
      <w:r>
        <w:rPr>
          <w:color w:val="000000"/>
          <w:sz w:val="24"/>
        </w:rPr>
        <w:tab/>
      </w:r>
    </w:p>
    <w:p>
      <w:pPr>
        <w:pStyle w:val="8"/>
        <w:spacing w:line="360" w:lineRule="auto"/>
        <w:ind w:left="0" w:firstLine="480" w:firstLineChars="200"/>
        <w:rPr>
          <w:color w:val="000000"/>
        </w:rPr>
      </w:pPr>
      <w:r>
        <w:rPr>
          <w:color w:val="000000"/>
        </w:rPr>
        <w:t xml:space="preserve">标准不确定度分量 </w:t>
      </w:r>
      <m:oMath>
        <m:r>
          <w:rPr>
            <w:rFonts w:ascii="Cambria Math" w:hAnsi="Cambria Math"/>
            <w:color w:val="000000"/>
          </w:rPr>
          <m:t>u(x)</m:t>
        </m:r>
      </m:oMath>
      <w:r>
        <w:rPr>
          <w:color w:val="000000"/>
        </w:rPr>
        <w:t>＝</w:t>
      </w:r>
      <w:r>
        <w:rPr>
          <w:color w:val="000000"/>
          <w:position w:val="-26"/>
        </w:rPr>
        <w:drawing>
          <wp:inline distT="0" distB="0" distL="0" distR="0">
            <wp:extent cx="1294765" cy="697230"/>
            <wp:effectExtent l="0" t="0" r="635" b="6985"/>
            <wp:docPr id="21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lang w:val="en-US" w:eastAsia="zh-CN"/>
        </w:rPr>
        <w:t>=</w:t>
      </w:r>
      <w:r>
        <w:rPr>
          <w:color w:val="000000"/>
        </w:rPr>
        <w:t>0.09</w:t>
      </w:r>
      <w:r>
        <w:t>HRA</w:t>
      </w:r>
    </w:p>
    <w:p>
      <w:pPr>
        <w:spacing w:line="360" w:lineRule="auto"/>
        <w:rPr>
          <w:i/>
          <w:sz w:val="24"/>
        </w:rPr>
      </w:pPr>
      <w:r>
        <w:rPr>
          <w:sz w:val="24"/>
        </w:rPr>
        <w:t>3.2、洛氏硬度计的测量不确定度的影响分量</w:t>
      </w:r>
      <m:oMath>
        <m:r>
          <w:rPr>
            <w:rFonts w:ascii="Cambria Math" w:hAnsi="Cambria Math"/>
            <w:color w:val="000000"/>
            <w:sz w:val="24"/>
          </w:rPr>
          <m:t>u(y)</m:t>
        </m:r>
      </m:oMath>
    </w:p>
    <w:p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由洛氏硬度计</w:t>
      </w:r>
      <w:r>
        <w:rPr>
          <w:rFonts w:hint="eastAsia"/>
          <w:sz w:val="24"/>
          <w:lang w:val="en-US" w:eastAsia="zh-CN"/>
        </w:rPr>
        <w:t>检定</w:t>
      </w:r>
      <w:r>
        <w:rPr>
          <w:sz w:val="24"/>
        </w:rPr>
        <w:t>证书获知，洛氏硬度计的</w:t>
      </w:r>
      <w:r>
        <w:rPr>
          <w:rFonts w:hint="eastAsia"/>
          <w:sz w:val="24"/>
          <w:lang w:val="en-US" w:eastAsia="zh-CN"/>
        </w:rPr>
        <w:t>示值误差0.1HRA</w:t>
      </w:r>
      <w:r>
        <w:rPr>
          <w:sz w:val="24"/>
        </w:rPr>
        <w:t>，则由洛氏硬度计本身引入的不确定分量为：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 xml:space="preserve">             </w:t>
      </w:r>
      <w:r>
        <w:rPr>
          <w:position w:val="-28"/>
          <w:sz w:val="24"/>
        </w:rPr>
        <w:object>
          <v:shape id="_x0000_i1025" o:spt="75" type="#_x0000_t75" style="height:33pt;width:110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w:r>
        <w:rPr>
          <w:rFonts w:hint="eastAsia"/>
          <w:sz w:val="24"/>
          <w:lang w:val="en-US" w:eastAsia="zh-CN"/>
        </w:rPr>
        <w:t>HRA</w:t>
      </w:r>
      <w:r>
        <w:rPr>
          <w:sz w:val="24"/>
        </w:rPr>
        <w:t xml:space="preserve"> </w:t>
      </w:r>
    </w:p>
    <w:p>
      <w:pPr>
        <w:spacing w:line="360" w:lineRule="auto"/>
        <w:rPr>
          <w:color w:val="000000"/>
          <w:sz w:val="24"/>
        </w:rPr>
      </w:pPr>
      <w:r>
        <w:rPr>
          <w:b/>
          <w:bCs/>
          <w:color w:val="000000"/>
          <w:sz w:val="24"/>
        </w:rPr>
        <w:t>4、合成标准不确定度的评定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4.1、标准不确定度汇总表</w:t>
      </w:r>
    </w:p>
    <w:p>
      <w:pPr>
        <w:spacing w:line="360" w:lineRule="auto"/>
        <w:ind w:firstLine="240" w:firstLineChars="100"/>
        <w:rPr>
          <w:color w:val="000000"/>
          <w:sz w:val="24"/>
        </w:rPr>
      </w:pPr>
      <w:r>
        <w:rPr>
          <w:color w:val="000000"/>
          <w:sz w:val="24"/>
        </w:rPr>
        <w:t>输入量的标准不确定度汇总于表2。</w:t>
      </w:r>
    </w:p>
    <w:p>
      <w:pPr>
        <w:spacing w:line="360" w:lineRule="auto"/>
        <w:ind w:firstLine="3120" w:firstLineChars="1300"/>
        <w:rPr>
          <w:color w:val="000000"/>
          <w:sz w:val="24"/>
        </w:rPr>
      </w:pPr>
      <w:r>
        <w:rPr>
          <w:color w:val="000000"/>
          <w:sz w:val="24"/>
        </w:rPr>
        <w:t>表2   标准不确定度汇总表</w:t>
      </w:r>
    </w:p>
    <w:tbl>
      <w:tblPr>
        <w:tblStyle w:val="4"/>
        <w:tblW w:w="861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4253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vAlign w:val="center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相对标准不确定度分量</w:t>
            </w:r>
            <m:oMath>
              <m:r>
                <w:rPr>
                  <w:rFonts w:ascii="Cambria Math" w:hAnsi="Cambria Math"/>
                  <w:color w:val="000000"/>
                  <w:w w:val="90"/>
                  <w:sz w:val="24"/>
                </w:rPr>
                <m:t>u(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w w:val="90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w w:val="90"/>
                      <w:sz w:val="24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color w:val="000000"/>
                      <w:w w:val="90"/>
                      <w:sz w:val="24"/>
                    </w:rPr>
                  </m:ctrlPr>
                </m:e>
                <m:sub>
                  <m:r>
                    <w:rPr>
                      <w:rFonts w:ascii="Cambria Math" w:hAnsi="Cambria Math"/>
                      <w:color w:val="000000"/>
                      <w:w w:val="90"/>
                      <w:sz w:val="24"/>
                    </w:rPr>
                    <m:t>i</m:t>
                  </m:r>
                  <m:ctrlPr>
                    <w:rPr>
                      <w:rFonts w:ascii="Cambria Math" w:hAnsi="Cambria Math"/>
                      <w:i/>
                      <w:color w:val="000000"/>
                      <w:w w:val="90"/>
                      <w:sz w:val="24"/>
                    </w:rPr>
                  </m:ctrlPr>
                </m:sub>
              </m:sSub>
              <m:r>
                <w:rPr>
                  <w:rFonts w:ascii="Cambria Math" w:hAnsi="Cambria Math"/>
                  <w:color w:val="000000"/>
                  <w:w w:val="90"/>
                  <w:sz w:val="24"/>
                </w:rPr>
                <m:t>)</m:t>
              </m:r>
            </m:oMath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不确定度来源</w:t>
            </w:r>
          </w:p>
        </w:tc>
        <w:tc>
          <w:tcPr>
            <w:tcW w:w="221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标准不确定度值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position w:val="-14"/>
                <w:sz w:val="24"/>
                <w:lang w:eastAsia="zh-CN"/>
              </w:rPr>
              <w:object>
                <v:shape id="_x0000_i1027" o:spt="75" type="#_x0000_t75" style="height:19pt;width:19pt;" o:ole="t" filled="f" o:preferrelative="t" stroked="f" coordsize="21600,21600"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6" r:id="rId8">
                  <o:LockedField>false</o:LockedField>
                </o:OLEObject>
              </w:objec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测量重复性引入的不确定度影响分量</w:t>
            </w:r>
          </w:p>
        </w:tc>
        <w:tc>
          <w:tcPr>
            <w:tcW w:w="221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0.09</w:t>
            </w:r>
            <w:r>
              <w:rPr>
                <w:sz w:val="24"/>
              </w:rPr>
              <w:t>HRA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5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position w:val="-14"/>
                <w:sz w:val="24"/>
                <w:lang w:eastAsia="zh-CN"/>
              </w:rPr>
              <w:object>
                <v:shape id="_x0000_i1028" o:spt="75" type="#_x0000_t75" style="height:19pt;width:20pt;" o:ole="t" filled="f" o:preferrelative="t" stroked="f" coordsize="21600,21600"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KSEE3" ShapeID="_x0000_i1028" DrawAspect="Content" ObjectID="_1468075727" r:id="rId10">
                  <o:LockedField>false</o:LockedField>
                </o:OLEObject>
              </w:objec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测量设备引入的不确定度影响分量</w:t>
            </w:r>
            <w:bookmarkStart w:id="0" w:name="_GoBack"/>
            <w:bookmarkEnd w:id="0"/>
          </w:p>
        </w:tc>
        <w:tc>
          <w:tcPr>
            <w:tcW w:w="221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06</w:t>
            </w:r>
            <w:r>
              <w:rPr>
                <w:color w:val="000000"/>
                <w:sz w:val="24"/>
              </w:rPr>
              <w:t>HRA</w:t>
            </w:r>
          </w:p>
        </w:tc>
      </w:tr>
    </w:tbl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4.3、合成标准不确定度的计算</w:t>
      </w:r>
    </w:p>
    <w:p>
      <w:pPr>
        <w:spacing w:line="360" w:lineRule="auto"/>
        <w:ind w:firstLine="240" w:firstLineChars="100"/>
        <w:rPr>
          <w:color w:val="000000"/>
          <w:sz w:val="24"/>
        </w:rPr>
      </w:pPr>
      <w:r>
        <w:rPr>
          <w:color w:val="000000"/>
          <w:sz w:val="24"/>
        </w:rPr>
        <w:t>合成标准不确定度可按下式得到：</w:t>
      </w:r>
    </w:p>
    <w:p>
      <w:pPr>
        <w:pStyle w:val="8"/>
        <w:spacing w:line="360" w:lineRule="auto"/>
        <w:ind w:left="1418" w:firstLine="600" w:firstLineChars="250"/>
        <w:rPr>
          <w:rFonts w:hint="default"/>
          <w:color w:val="000000"/>
          <w:lang w:val="en-US"/>
        </w:rPr>
      </w:pPr>
      <w:r>
        <w:rPr>
          <w:rFonts w:ascii="Cambria Math" w:hAnsi="Cambria Math"/>
          <w:color w:val="000000"/>
          <w:position w:val="-16"/>
        </w:rPr>
        <w:object>
          <v:shape id="_x0000_i1026" o:spt="75" type="#_x0000_t75" style="height:24pt;width:90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6" DrawAspect="Content" ObjectID="_1468075728" r:id="rId12">
            <o:LockedField>false</o:LockedField>
          </o:OLEObject>
        </w:object>
      </w:r>
      <w:r>
        <w:rPr>
          <w:rFonts w:hint="eastAsia" w:ascii="Cambria Math" w:hAnsi="Cambria Math"/>
          <w:color w:val="000000"/>
          <w:lang w:val="en-US" w:eastAsia="zh-CN"/>
        </w:rPr>
        <w:t>0.11HRA</w:t>
      </w:r>
    </w:p>
    <w:p>
      <w:p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5、扩展不确定度的计算</w:t>
      </w:r>
    </w:p>
    <w:p>
      <w:pPr>
        <w:spacing w:line="360" w:lineRule="auto"/>
        <w:ind w:firstLine="240" w:firstLineChars="100"/>
        <w:rPr>
          <w:color w:val="000000"/>
          <w:sz w:val="24"/>
        </w:rPr>
      </w:pPr>
      <w:r>
        <w:rPr>
          <w:color w:val="000000"/>
          <w:sz w:val="24"/>
        </w:rPr>
        <w:t>取</w:t>
      </w:r>
      <w:r>
        <w:rPr>
          <w:i/>
          <w:color w:val="000000"/>
          <w:sz w:val="24"/>
        </w:rPr>
        <w:t xml:space="preserve">ｋ＝2,  </w:t>
      </w:r>
      <w:r>
        <w:rPr>
          <w:color w:val="000000"/>
          <w:sz w:val="24"/>
        </w:rPr>
        <w:t>得</w:t>
      </w:r>
    </w:p>
    <w:p>
      <w:pPr>
        <w:spacing w:line="360" w:lineRule="auto"/>
        <w:ind w:firstLine="1200" w:firstLineChars="500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>
        <w:rPr>
          <w:i/>
          <w:color w:val="000000"/>
          <w:sz w:val="24"/>
        </w:rPr>
        <w:t>U＝k·ｕ</w:t>
      </w:r>
      <w:r>
        <w:rPr>
          <w:iCs/>
          <w:color w:val="000000"/>
          <w:sz w:val="24"/>
          <w:vertAlign w:val="subscript"/>
        </w:rPr>
        <w:t>ｃ</w:t>
      </w:r>
      <w:r>
        <w:rPr>
          <w:color w:val="000000"/>
          <w:sz w:val="24"/>
        </w:rPr>
        <w:t>＝2×0.</w:t>
      </w:r>
      <w:r>
        <w:rPr>
          <w:rFonts w:hint="eastAsia"/>
          <w:color w:val="000000"/>
          <w:sz w:val="24"/>
          <w:lang w:val="en-US" w:eastAsia="zh-CN"/>
        </w:rPr>
        <w:t>11</w:t>
      </w:r>
      <w:r>
        <w:rPr>
          <w:color w:val="000000"/>
          <w:sz w:val="24"/>
        </w:rPr>
        <w:t>HRA＝0.</w:t>
      </w:r>
      <w:r>
        <w:rPr>
          <w:rFonts w:hint="eastAsia"/>
          <w:color w:val="000000"/>
          <w:sz w:val="24"/>
          <w:lang w:val="en-US" w:eastAsia="zh-CN"/>
        </w:rPr>
        <w:t>22</w:t>
      </w:r>
      <w:r>
        <w:rPr>
          <w:color w:val="000000"/>
          <w:sz w:val="24"/>
        </w:rPr>
        <w:t>HRA</w:t>
      </w:r>
    </w:p>
    <w:p>
      <w:pPr>
        <w:spacing w:line="360" w:lineRule="auto"/>
        <w:ind w:left="180" w:right="-449" w:rightChars="-214"/>
        <w:jc w:val="center"/>
        <w:rPr>
          <w:color w:val="000000"/>
          <w:sz w:val="24"/>
        </w:rPr>
      </w:pPr>
    </w:p>
    <w:sectPr>
      <w:pgSz w:w="11906" w:h="16838"/>
      <w:pgMar w:top="1134" w:right="1797" w:bottom="992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1E"/>
    <w:rsid w:val="000254FE"/>
    <w:rsid w:val="00031CD7"/>
    <w:rsid w:val="00037FFC"/>
    <w:rsid w:val="00041C44"/>
    <w:rsid w:val="00081FF9"/>
    <w:rsid w:val="000F74B3"/>
    <w:rsid w:val="00142BAC"/>
    <w:rsid w:val="0014407B"/>
    <w:rsid w:val="0015538C"/>
    <w:rsid w:val="001B5114"/>
    <w:rsid w:val="00243856"/>
    <w:rsid w:val="00254F38"/>
    <w:rsid w:val="00296ADD"/>
    <w:rsid w:val="00354E2E"/>
    <w:rsid w:val="003708F2"/>
    <w:rsid w:val="003830B0"/>
    <w:rsid w:val="003875BE"/>
    <w:rsid w:val="003F5DD8"/>
    <w:rsid w:val="003F7DF6"/>
    <w:rsid w:val="00421567"/>
    <w:rsid w:val="00441D34"/>
    <w:rsid w:val="00466BC4"/>
    <w:rsid w:val="004B02B7"/>
    <w:rsid w:val="004F2C9D"/>
    <w:rsid w:val="00504261"/>
    <w:rsid w:val="005547C5"/>
    <w:rsid w:val="005B1FB4"/>
    <w:rsid w:val="005C23B2"/>
    <w:rsid w:val="005D34EF"/>
    <w:rsid w:val="005F73F9"/>
    <w:rsid w:val="006153E7"/>
    <w:rsid w:val="006A391E"/>
    <w:rsid w:val="006B148D"/>
    <w:rsid w:val="006C38CB"/>
    <w:rsid w:val="006C4A67"/>
    <w:rsid w:val="006E1108"/>
    <w:rsid w:val="007262CE"/>
    <w:rsid w:val="0078499B"/>
    <w:rsid w:val="007946A6"/>
    <w:rsid w:val="0090719D"/>
    <w:rsid w:val="00915623"/>
    <w:rsid w:val="00917D53"/>
    <w:rsid w:val="00923F42"/>
    <w:rsid w:val="00950E48"/>
    <w:rsid w:val="0098295D"/>
    <w:rsid w:val="00990B67"/>
    <w:rsid w:val="009C0714"/>
    <w:rsid w:val="00A740E9"/>
    <w:rsid w:val="00AC50A8"/>
    <w:rsid w:val="00AC5886"/>
    <w:rsid w:val="00AF1CD9"/>
    <w:rsid w:val="00B04AFF"/>
    <w:rsid w:val="00B63FF9"/>
    <w:rsid w:val="00BD62BE"/>
    <w:rsid w:val="00BE6F8B"/>
    <w:rsid w:val="00C17467"/>
    <w:rsid w:val="00C17E84"/>
    <w:rsid w:val="00C5393C"/>
    <w:rsid w:val="00C642A9"/>
    <w:rsid w:val="00C95FEB"/>
    <w:rsid w:val="00D22EC1"/>
    <w:rsid w:val="00D279D3"/>
    <w:rsid w:val="00D46553"/>
    <w:rsid w:val="00DF4B94"/>
    <w:rsid w:val="00E670D6"/>
    <w:rsid w:val="00E85403"/>
    <w:rsid w:val="00F17A12"/>
    <w:rsid w:val="00F32C76"/>
    <w:rsid w:val="00F35277"/>
    <w:rsid w:val="00F55C60"/>
    <w:rsid w:val="00F85E51"/>
    <w:rsid w:val="00FB4A1B"/>
    <w:rsid w:val="00FE47A5"/>
    <w:rsid w:val="00FF547A"/>
    <w:rsid w:val="12BC0EE9"/>
    <w:rsid w:val="1607751B"/>
    <w:rsid w:val="1AD46B90"/>
    <w:rsid w:val="2D155CDE"/>
    <w:rsid w:val="50200B61"/>
    <w:rsid w:val="53E07439"/>
    <w:rsid w:val="56BE2A6C"/>
    <w:rsid w:val="6494259D"/>
    <w:rsid w:val="758F66D0"/>
    <w:rsid w:val="7BD9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customStyle="1" w:styleId="8">
    <w:name w:val="MTDisplayEquation"/>
    <w:basedOn w:val="1"/>
    <w:next w:val="1"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2.bin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6.wmf"/><Relationship Id="rId12" Type="http://schemas.openxmlformats.org/officeDocument/2006/relationships/oleObject" Target="embeddings/oleObject4.bin"/><Relationship Id="rId11" Type="http://schemas.openxmlformats.org/officeDocument/2006/relationships/image" Target="media/image5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D66A01-49EA-4550-B01D-648973290B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www.os115.com</Company>
  <Pages>2</Pages>
  <Words>183</Words>
  <Characters>1048</Characters>
  <Lines>8</Lines>
  <Paragraphs>2</Paragraphs>
  <TotalTime>137</TotalTime>
  <ScaleCrop>false</ScaleCrop>
  <LinksUpToDate>false</LinksUpToDate>
  <CharactersWithSpaces>1229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2020-03-19T13:55:00Z</dcterms:created>
  <dc:creator>Administrator</dc:creator>
  <cp:lastModifiedBy>知足常乐</cp:lastModifiedBy>
  <cp:lastPrinted>2018-12-05T06:44:00Z</cp:lastPrinted>
  <dcterms:modified xsi:type="dcterms:W3CDTF">2020-03-29T08:42:04Z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