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</w:t>
      </w:r>
      <w:r w:rsidR="0032706E">
        <w:rPr>
          <w:rFonts w:ascii="楷体" w:eastAsia="楷体" w:hAnsi="楷体" w:hint="eastAsia"/>
          <w:bCs/>
          <w:sz w:val="36"/>
          <w:szCs w:val="36"/>
        </w:rPr>
        <w:t>远程</w:t>
      </w:r>
      <w:r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主管领导：崔浩     陪同人员：杨聚山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4D5F75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审核时间：2020.3.31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574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2020.1.15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8B4414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25BF1" w:rsidRPr="008B4414" w:rsidTr="0092083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92083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92083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92083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92083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92083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92083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92083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92083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山东学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献教学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用品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25BF1" w:rsidRPr="008B4414" w:rsidTr="00EA58C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EA58C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EA58C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EA58C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EA58C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EA58C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EA58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EA58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25BF1" w:rsidRPr="008B4414" w:rsidTr="002B280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2B280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2B280C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2B280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 w:rsidTr="002B280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E25BF1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25BF1" w:rsidRPr="008B4414" w:rsidRDefault="00E25BF1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25BF1" w:rsidRPr="008B4414" w:rsidRDefault="00E25BF1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24435" w:rsidRPr="008B4414" w:rsidTr="000A5148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识字板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腰鼓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单人骑马机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上肢牵引器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二人太空漫步机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腰背按摩器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人造草坪片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0A5148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塑胶跑道片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8B4414" w:rsidTr="0076740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8B4414" w:rsidTr="0076740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B4414" w:rsidRPr="008B4414" w:rsidTr="0093690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93690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钻床模型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93690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发动机模型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93690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发电机模型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9369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发电轮仪器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苏州亿利安机电科技有限公司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8B4414" w:rsidTr="0076740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8B4414" w:rsidTr="0076740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24435" w:rsidRPr="008B4414" w:rsidTr="00A2378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冰箱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A2378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A2378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空调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A2378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电话机</w:t>
                  </w: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A2378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A23783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A237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天津市睿智天成科技发展有限公司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724435" w:rsidRPr="008B4414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24435" w:rsidRPr="008B4414" w:rsidTr="00C448E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C448E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C448E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密度计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北京普析通用仪器有限责任公司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20</w:t>
                  </w:r>
                  <w:r w:rsidR="00724435"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724435" w:rsidRPr="008B4414" w:rsidTr="0045668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移液管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45668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45668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 w:rsidTr="0045668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724435" w:rsidRPr="008B441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proofErr w:type="gramStart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江阴深亚</w:t>
                  </w:r>
                  <w:proofErr w:type="gramEnd"/>
                  <w:r w:rsidRPr="008B4414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724435" w:rsidRPr="008B4414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8B441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8B441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8B4414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8B4414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B4414" w:rsidRPr="008B4414" w:rsidTr="00201609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201609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地理实验台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20160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A5550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8" w:history="1">
                    <w:r w:rsidRPr="008B4414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A5550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Pr="008B4414">
                      <w:rPr>
                        <w:rFonts w:ascii="楷体" w:eastAsia="楷体" w:hAnsi="楷体"/>
                        <w:sz w:val="18"/>
                        <w:szCs w:val="18"/>
                      </w:rPr>
                      <w:t>科技馆展示台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A5550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科技馆</w:t>
                  </w:r>
                  <w:r w:rsidRPr="008B4414">
                    <w:rPr>
                      <w:rFonts w:ascii="楷体" w:eastAsia="楷体" w:hAnsi="楷体"/>
                      <w:sz w:val="18"/>
                      <w:szCs w:val="18"/>
                    </w:rPr>
                    <w:t>储藏柜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2016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模拟太空飞行器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A555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2016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20160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浙江天煌科技实业有限公司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CB5244" w:rsidRPr="008B4414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8B4414" w:rsidRPr="008B4414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8B4414" w:rsidRPr="008B4414" w:rsidTr="0076740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B4414" w:rsidRPr="008B4414" w:rsidTr="0076740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8B4414" w:rsidRPr="008B4414" w:rsidTr="0076740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烤箱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餐具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热水器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折叠椅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燃气灶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  <w:tr w:rsidR="008B4414" w:rsidRPr="008B4414" w:rsidTr="0076740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8B4414" w:rsidRPr="008B4414" w:rsidRDefault="008B4414" w:rsidP="008B4414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8B4414" w:rsidRPr="008B4414" w:rsidRDefault="008B4414" w:rsidP="008B4414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8B4414">
                    <w:rPr>
                      <w:rFonts w:ascii="楷体" w:eastAsia="楷体" w:hAnsi="楷体" w:hint="eastAsia"/>
                      <w:sz w:val="18"/>
                      <w:szCs w:val="18"/>
                    </w:rPr>
                    <w:t>崔浩</w:t>
                  </w:r>
                </w:p>
              </w:tc>
            </w:tr>
          </w:tbl>
          <w:p w:rsidR="008B4414" w:rsidRPr="008B4414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日的“营销人员工作监督表”，业务人员：崔浩，综合评价：9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分，检查人：杨聚山。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Pr="00791B90">
              <w:rPr>
                <w:rFonts w:ascii="楷体" w:eastAsia="楷体" w:hAnsi="楷体" w:hint="eastAsia"/>
                <w:sz w:val="24"/>
                <w:szCs w:val="24"/>
              </w:rPr>
              <w:t>杨勋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分，检查人：杨聚山。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791B90" w:rsidRPr="00791B90">
              <w:rPr>
                <w:rFonts w:ascii="楷体" w:eastAsia="楷体" w:hAnsi="楷体" w:hint="eastAsia"/>
                <w:sz w:val="24"/>
                <w:szCs w:val="24"/>
              </w:rPr>
              <w:t>吕佩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分，检查人：杨聚山。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85420B">
              <w:rPr>
                <w:rFonts w:ascii="楷体" w:eastAsia="楷体" w:hAnsi="楷体" w:cs="楷体" w:hint="eastAsia"/>
                <w:bCs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抽查2019年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22574B" w:rsidRPr="00791B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1个电</w:t>
            </w:r>
            <w:r w:rsidR="0022574B" w:rsidRP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视机包装破损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，纠正预防措施：请供方分析原因，并换货，2019.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22574B" w:rsidRP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杨勋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在办公、检验等各有关过程的环境因素，包括办公纸张消耗、办公固废排放、不合格品排放等环境因素。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办公过程的办公电器漏电、检验活动过程中的玻璃仪器划伤、滑倒、火灾等危险源。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公司制定实施了《固体废弃物控制程序》、《消防安全管理程序》、《节约能源资源管理办法》、《环境保护管理办法》、《职工安全守则》、《火灾应急响应规范》等环境与安全管理制度。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4583F" w:rsidRPr="00E4583F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</w:t>
            </w:r>
            <w:r w:rsidR="00E4583F" w:rsidRPr="00E4583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器、校园文化建设设备、健身器材、塑胶跑道、人造草坪、学生校服、职教实</w:t>
            </w:r>
            <w:proofErr w:type="gramStart"/>
            <w:r w:rsidR="00E4583F" w:rsidRPr="00E4583F">
              <w:rPr>
                <w:rFonts w:ascii="楷体" w:eastAsia="楷体" w:hAnsi="楷体" w:cs="楷体" w:hint="eastAsia"/>
                <w:sz w:val="24"/>
                <w:szCs w:val="24"/>
              </w:rPr>
              <w:t>训设备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85420B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质检部人员于2019.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6E" w:rsidRDefault="0049766E">
      <w:r>
        <w:separator/>
      </w:r>
    </w:p>
  </w:endnote>
  <w:endnote w:type="continuationSeparator" w:id="0">
    <w:p w:rsidR="0049766E" w:rsidRDefault="0049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22574B" w:rsidRDefault="0022574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5F44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5F44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574B" w:rsidRDefault="002257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6E" w:rsidRDefault="0049766E">
      <w:r>
        <w:separator/>
      </w:r>
    </w:p>
  </w:footnote>
  <w:footnote w:type="continuationSeparator" w:id="0">
    <w:p w:rsidR="0049766E" w:rsidRDefault="0049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4B" w:rsidRDefault="0022574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2574B" w:rsidRDefault="0022574B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2574B" w:rsidRDefault="0022574B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22574B" w:rsidRDefault="002257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367B4"/>
    <w:rsid w:val="00237445"/>
    <w:rsid w:val="00245F44"/>
    <w:rsid w:val="00247827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66E"/>
    <w:rsid w:val="004B217F"/>
    <w:rsid w:val="004B3E7F"/>
    <w:rsid w:val="004B7266"/>
    <w:rsid w:val="004C07FE"/>
    <w:rsid w:val="004D3E4C"/>
    <w:rsid w:val="004D5F75"/>
    <w:rsid w:val="004E2D75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741"/>
    <w:rsid w:val="009B7EB8"/>
    <w:rsid w:val="009E30DA"/>
    <w:rsid w:val="009E6193"/>
    <w:rsid w:val="009E744E"/>
    <w:rsid w:val="009E7DD1"/>
    <w:rsid w:val="009F7EED"/>
    <w:rsid w:val="00A11F3A"/>
    <w:rsid w:val="00A138EC"/>
    <w:rsid w:val="00A42CB8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410EE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zykj.com/zhsh.asp?id=3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czykj.com/zhsh.asp?id=3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11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485</cp:revision>
  <dcterms:created xsi:type="dcterms:W3CDTF">2015-06-17T12:51:00Z</dcterms:created>
  <dcterms:modified xsi:type="dcterms:W3CDTF">2020-04-11T01:48:00Z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