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 第 一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北京航宇科创科技有限公司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 xml:space="preserve">质量管理体系（QMS）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r>
        <w:rPr>
          <w:rFonts w:hint="eastAsia"/>
          <w:color w:val="000000"/>
          <w:u w:val="single"/>
        </w:rPr>
        <w:t xml:space="preserve"> </w:t>
      </w:r>
      <w:r>
        <w:rPr>
          <w:color w:val="000000"/>
          <w:u w:val="single"/>
        </w:rPr>
        <w:t xml:space="preserve">                </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夏爱俭</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8" w:name="审核组成员不含组长"/>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2023-08-</w:t>
      </w:r>
      <w:r>
        <w:rPr>
          <w:rFonts w:hint="eastAsia" w:asciiTheme="minorEastAsia" w:hAnsiTheme="minorEastAsia" w:eastAsiaTheme="minorEastAsia"/>
          <w:color w:val="auto"/>
          <w:kern w:val="2"/>
          <w:sz w:val="21"/>
          <w:szCs w:val="21"/>
          <w:lang w:val="en-US" w:eastAsia="zh-CN"/>
        </w:rPr>
        <w:t>19</w:t>
      </w:r>
      <w:r>
        <w:rPr>
          <w:rFonts w:hint="eastAsia" w:asciiTheme="minorEastAsia" w:hAnsiTheme="minorEastAsia" w:eastAsiaTheme="minorEastAsia"/>
          <w:color w:val="auto"/>
          <w:kern w:val="2"/>
          <w:sz w:val="21"/>
          <w:szCs w:val="21"/>
        </w:rPr>
        <w:t xml:space="preserve"> 8:30:00上午至2023-08-</w:t>
      </w:r>
      <w:r>
        <w:rPr>
          <w:rFonts w:hint="eastAsia" w:asciiTheme="minorEastAsia" w:hAnsiTheme="minorEastAsia" w:eastAsiaTheme="minorEastAsia"/>
          <w:color w:val="auto"/>
          <w:kern w:val="2"/>
          <w:sz w:val="21"/>
          <w:szCs w:val="21"/>
          <w:lang w:val="en-US" w:eastAsia="zh-CN"/>
        </w:rPr>
        <w:t>19</w:t>
      </w:r>
      <w:r>
        <w:rPr>
          <w:rFonts w:hint="eastAsia" w:asciiTheme="minorEastAsia" w:hAnsiTheme="minorEastAsia" w:eastAsiaTheme="minorEastAsia"/>
          <w:color w:val="auto"/>
          <w:kern w:val="2"/>
          <w:sz w:val="21"/>
          <w:szCs w:val="21"/>
        </w:rPr>
        <w:t xml:space="preserve"> 12:30:00</w:t>
      </w:r>
      <w:r>
        <w:rPr>
          <w:rFonts w:hint="eastAsia" w:asciiTheme="minorEastAsia" w:hAnsiTheme="minorEastAsia" w:eastAsiaTheme="minorEastAsia"/>
          <w:color w:val="auto"/>
          <w:kern w:val="2"/>
          <w:sz w:val="21"/>
          <w:szCs w:val="21"/>
          <w:lang w:val="en-US" w:eastAsia="zh-CN"/>
        </w:rPr>
        <w:t>上</w:t>
      </w:r>
      <w:bookmarkStart w:id="22" w:name="_GoBack"/>
      <w:bookmarkEnd w:id="22"/>
      <w:r>
        <w:rPr>
          <w:rFonts w:hint="eastAsia" w:asciiTheme="minorEastAsia" w:hAnsiTheme="minorEastAsia" w:eastAsiaTheme="minorEastAsia"/>
          <w:color w:val="auto"/>
          <w:kern w:val="2"/>
          <w:sz w:val="21"/>
          <w:szCs w:val="21"/>
        </w:rPr>
        <w:t>午</w:t>
      </w:r>
      <w:bookmarkEnd w:id="15"/>
      <w:r>
        <w:rPr>
          <w:rFonts w:hint="eastAsia" w:asciiTheme="minorEastAsia" w:hAnsiTheme="minorEastAsia" w:eastAsiaTheme="minorEastAsia"/>
          <w:color w:val="auto"/>
          <w:kern w:val="2"/>
          <w:sz w:val="21"/>
          <w:szCs w:val="21"/>
        </w:rPr>
        <w:t>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北京市海淀区阜石路甲69号院12号楼3层2单元319</w:t>
      </w:r>
      <w:bookmarkEnd w:id="19"/>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北京市大兴区西红门礼域府19-404</w:t>
      </w:r>
      <w:bookmarkEnd w:id="20"/>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2023年08月06日 上午至2023年08月06日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   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5AB74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7"/>
    <w:qFormat/>
    <w:uiPriority w:val="99"/>
    <w:rPr>
      <w:rFonts w:ascii="Times New Roman" w:hAnsi="Times New Roman" w:eastAsia="宋体" w:cs="Times New Roman"/>
      <w:sz w:val="18"/>
      <w:szCs w:val="18"/>
    </w:rPr>
  </w:style>
  <w:style w:type="character" w:customStyle="1" w:styleId="17">
    <w:name w:val="页脚 字符"/>
    <w:basedOn w:val="13"/>
    <w:link w:val="6"/>
    <w:qFormat/>
    <w:uiPriority w:val="99"/>
    <w:rPr>
      <w:rFonts w:ascii="Times New Roman" w:hAnsi="Times New Roman" w:eastAsia="宋体" w:cs="Times New Roman"/>
      <w:sz w:val="18"/>
      <w:szCs w:val="18"/>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字符"/>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352</Words>
  <Characters>2013</Characters>
  <Lines>16</Lines>
  <Paragraphs>4</Paragraphs>
  <TotalTime>82</TotalTime>
  <ScaleCrop>false</ScaleCrop>
  <LinksUpToDate>false</LinksUpToDate>
  <CharactersWithSpaces>2361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2023-08-03T03:27:09Z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2052-12.1.0.15120</vt:lpwstr>
  </property>
</Properties>
</file>