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重庆乔盛实业有限公司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Q:15.01.02</w:t>
            </w:r>
          </w:p>
          <w:p>
            <w:pPr>
              <w:spacing w:line="240" w:lineRule="exact"/>
              <w:jc w:val="center"/>
              <w:rPr>
                <w:b/>
                <w:color w:val="000000" w:themeColor="text1"/>
                <w:sz w:val="20"/>
                <w:szCs w:val="20"/>
              </w:rPr>
            </w:pPr>
            <w:r>
              <w:rPr>
                <w:b/>
                <w:color w:val="000000" w:themeColor="text1"/>
                <w:sz w:val="20"/>
                <w:szCs w:val="20"/>
              </w:rPr>
              <w:t>E:15.01.02</w:t>
            </w:r>
          </w:p>
          <w:p>
            <w:pPr>
              <w:spacing w:line="240" w:lineRule="exact"/>
              <w:jc w:val="center"/>
              <w:rPr>
                <w:b/>
                <w:color w:val="000000" w:themeColor="text1"/>
                <w:sz w:val="20"/>
                <w:szCs w:val="20"/>
              </w:rPr>
            </w:pPr>
            <w:r>
              <w:rPr>
                <w:b/>
                <w:color w:val="000000" w:themeColor="text1"/>
                <w:sz w:val="20"/>
                <w:szCs w:val="20"/>
              </w:rPr>
              <w:t>O:15.01.02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重庆乔盛实业有限公司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重庆市涪陵区荔枝街道办事处鹅颈关村七组(涪南路八公里龙家湾）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重庆市涪陵区荔枝街道办事处鹅颈关村七组(涪南路八公里龙家湾）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张建平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15310100165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庞天勇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张建平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Q：钢化玻璃的生产（3C证书范围内）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E：钢化玻璃的生产（3C证书范围内）所涉及的相关环境管理活动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O：钢化玻璃的生产（3C证书范围内）所涉及的相关职业健康安全管理活动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Q：15.01.02</w:t>
            </w:r>
          </w:p>
          <w:p>
            <w:pPr>
              <w:spacing w:line="320" w:lineRule="exact"/>
              <w:rPr>
                <w:rFonts w:ascii="宋体" w:hAnsi="宋体"/>
                <w:b/>
                <w:color w:val="000000" w:themeColor="text1"/>
                <w:sz w:val="20"/>
                <w:szCs w:val="20"/>
              </w:rPr>
            </w:pPr>
            <w:r>
              <w:rPr>
                <w:rFonts w:ascii="宋体" w:hAnsi="宋体"/>
                <w:b/>
                <w:color w:val="000000" w:themeColor="text1"/>
                <w:sz w:val="20"/>
                <w:szCs w:val="20"/>
              </w:rPr>
              <w:t>E：15.01.02</w:t>
            </w:r>
          </w:p>
          <w:p>
            <w:pPr>
              <w:spacing w:line="320" w:lineRule="exact"/>
              <w:rPr>
                <w:rFonts w:ascii="宋体" w:hAnsi="宋体"/>
                <w:b/>
                <w:color w:val="000000" w:themeColor="text1"/>
                <w:sz w:val="20"/>
                <w:szCs w:val="20"/>
              </w:rPr>
            </w:pPr>
            <w:r>
              <w:rPr>
                <w:rFonts w:ascii="宋体" w:hAnsi="宋体"/>
                <w:b/>
                <w:color w:val="000000" w:themeColor="text1"/>
                <w:sz w:val="20"/>
                <w:szCs w:val="20"/>
              </w:rPr>
              <w:t>O：15.01.02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钢化玻璃的生产（3C证书范围内）</w:t>
            </w:r>
          </w:p>
        </w:tc>
        <w:tc>
          <w:tcPr>
            <w:tcW w:w="2519" w:type="dxa"/>
          </w:tcPr>
          <w:p>
            <w:pPr>
              <w:rPr>
                <w:b/>
                <w:color w:val="000000" w:themeColor="text1"/>
                <w:sz w:val="20"/>
                <w:szCs w:val="20"/>
              </w:rPr>
            </w:pPr>
            <w:r>
              <w:rPr>
                <w:rFonts w:hint="eastAsia"/>
                <w:b/>
                <w:color w:val="000000" w:themeColor="text1"/>
                <w:sz w:val="20"/>
                <w:szCs w:val="20"/>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rPr>
              <w:t>GB 15763.3-2009 建筑用安全玻璃 第3部分：夹层玻璃</w:t>
            </w:r>
            <w:r>
              <w:rPr>
                <w:rFonts w:hint="eastAsia" w:ascii="宋体" w:hAnsi="宋体"/>
                <w:color w:val="FF0000"/>
                <w:szCs w:val="21"/>
              </w:rPr>
              <w:t>、</w:t>
            </w:r>
            <w:r>
              <w:rPr>
                <w:rFonts w:hint="eastAsia" w:ascii="宋体" w:hAnsi="宋体"/>
                <w:szCs w:val="21"/>
              </w:rPr>
              <w:t>GB 15763.2-2005 建筑用安全玻璃 第2部分：钢化玻璃、GB/T11944-2012 中空玻璃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bookmarkStart w:id="20" w:name="OLE_LINK1"/>
      <w:r>
        <w:rPr>
          <w:rFonts w:hint="eastAsia"/>
          <w:b/>
          <w:color w:val="000000" w:themeColor="text1"/>
          <w:spacing w:val="-10"/>
          <w:szCs w:val="21"/>
          <w:u w:val="single"/>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Cs w:val="21"/>
              </w:rPr>
              <w:t>质量方针：</w:t>
            </w:r>
            <w:r>
              <w:rPr>
                <w:rFonts w:hint="eastAsia"/>
                <w:bCs/>
                <w:szCs w:val="21"/>
              </w:rPr>
              <w:t>诚实守信，客户至上；真诚合作，实现双赢 ；</w:t>
            </w:r>
            <w:r>
              <w:rPr>
                <w:rFonts w:hint="eastAsia" w:ascii="宋体" w:hAnsi="宋体"/>
                <w:szCs w:val="21"/>
              </w:rPr>
              <w:t xml:space="preserve">环境方针： </w:t>
            </w:r>
            <w:r>
              <w:rPr>
                <w:rFonts w:hint="eastAsia"/>
                <w:bCs/>
                <w:szCs w:val="21"/>
              </w:rPr>
              <w:t>遵规守法，预防污染；高效低耗，环保营业 ；</w:t>
            </w:r>
            <w:r>
              <w:rPr>
                <w:rFonts w:hint="eastAsia" w:ascii="宋体" w:hAnsi="宋体"/>
                <w:szCs w:val="21"/>
              </w:rPr>
              <w:t xml:space="preserve">职业健康安全方针： </w:t>
            </w:r>
            <w:r>
              <w:rPr>
                <w:rFonts w:hint="eastAsia"/>
                <w:bCs/>
                <w:szCs w:val="21"/>
              </w:rPr>
              <w:t xml:space="preserve">安全第一，预防为主；健康向上，共建和谐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其中关键过程有：合片、钢化、夹胶过程。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钢化、夹胶</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5721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8.3，不适用理由：按国标和客户要求执行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废水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Cs w:val="21"/>
              </w:rPr>
            </w:pPr>
            <w:r>
              <w:rPr>
                <w:rFonts w:hint="eastAsia" w:ascii="宋体" w:hAnsi="宋体"/>
                <w:bCs/>
                <w:szCs w:val="21"/>
              </w:rPr>
              <w:t xml:space="preserve">质量目标 </w:t>
            </w:r>
          </w:p>
          <w:p>
            <w:pPr>
              <w:spacing w:line="360" w:lineRule="auto"/>
              <w:ind w:firstLine="420" w:firstLineChars="200"/>
              <w:jc w:val="left"/>
              <w:rPr>
                <w:rFonts w:ascii="宋体" w:hAnsi="宋体"/>
                <w:bCs/>
                <w:szCs w:val="21"/>
              </w:rPr>
            </w:pPr>
            <w:r>
              <w:rPr>
                <w:rFonts w:hint="eastAsia" w:ascii="宋体" w:hAnsi="宋体"/>
                <w:bCs/>
                <w:szCs w:val="21"/>
              </w:rPr>
              <w:t>1、</w:t>
            </w:r>
            <w:r>
              <w:rPr>
                <w:rFonts w:hint="eastAsia" w:ascii="宋体" w:hAnsi="宋体"/>
                <w:bCs/>
                <w:color w:val="000000"/>
                <w:szCs w:val="21"/>
              </w:rPr>
              <w:t>产品一次检验合格率</w:t>
            </w:r>
            <w:r>
              <w:rPr>
                <w:rFonts w:hint="eastAsia"/>
                <w:color w:val="000000"/>
                <w:szCs w:val="21"/>
              </w:rPr>
              <w:t>97%以上；</w:t>
            </w:r>
          </w:p>
          <w:p>
            <w:pPr>
              <w:spacing w:line="360" w:lineRule="auto"/>
              <w:ind w:firstLine="420" w:firstLineChars="200"/>
              <w:jc w:val="left"/>
              <w:rPr>
                <w:rFonts w:ascii="宋体" w:hAnsi="宋体"/>
                <w:bCs/>
                <w:szCs w:val="21"/>
              </w:rPr>
            </w:pPr>
            <w:r>
              <w:rPr>
                <w:rFonts w:hint="eastAsia" w:ascii="宋体" w:hAnsi="宋体"/>
                <w:bCs/>
                <w:szCs w:val="21"/>
              </w:rPr>
              <w:t>2、合同履约率100％；</w:t>
            </w:r>
          </w:p>
          <w:p>
            <w:pPr>
              <w:spacing w:line="360" w:lineRule="auto"/>
              <w:ind w:firstLine="420" w:firstLineChars="200"/>
              <w:jc w:val="left"/>
              <w:rPr>
                <w:rFonts w:ascii="宋体" w:hAnsi="宋体"/>
                <w:bCs/>
                <w:szCs w:val="21"/>
              </w:rPr>
            </w:pPr>
            <w:r>
              <w:rPr>
                <w:rFonts w:hint="eastAsia" w:ascii="宋体" w:hAnsi="宋体"/>
                <w:bCs/>
                <w:szCs w:val="21"/>
              </w:rPr>
              <w:t xml:space="preserve">3、顾客满意率达到≥90%以上 </w:t>
            </w:r>
          </w:p>
          <w:p>
            <w:pPr>
              <w:spacing w:line="360" w:lineRule="auto"/>
              <w:ind w:firstLine="420" w:firstLineChars="200"/>
              <w:jc w:val="left"/>
              <w:rPr>
                <w:rFonts w:ascii="宋体" w:hAnsi="宋体"/>
                <w:bCs/>
                <w:szCs w:val="21"/>
              </w:rPr>
            </w:pPr>
            <w:r>
              <w:rPr>
                <w:rFonts w:hint="eastAsia" w:ascii="宋体" w:hAnsi="宋体"/>
                <w:bCs/>
                <w:szCs w:val="21"/>
              </w:rPr>
              <w:t xml:space="preserve">环境目标 </w:t>
            </w:r>
          </w:p>
          <w:p>
            <w:pPr>
              <w:spacing w:line="360" w:lineRule="auto"/>
              <w:ind w:firstLine="420" w:firstLineChars="200"/>
              <w:jc w:val="left"/>
              <w:rPr>
                <w:rFonts w:ascii="宋体" w:hAnsi="宋体"/>
                <w:bCs/>
                <w:szCs w:val="21"/>
              </w:rPr>
            </w:pPr>
            <w:r>
              <w:rPr>
                <w:rFonts w:hint="eastAsia" w:ascii="宋体" w:hAnsi="宋体"/>
                <w:bCs/>
                <w:szCs w:val="21"/>
              </w:rPr>
              <w:t xml:space="preserve">1、固体废弃物分类处理率100%；  </w:t>
            </w:r>
          </w:p>
          <w:p>
            <w:pPr>
              <w:spacing w:line="360" w:lineRule="auto"/>
              <w:ind w:firstLine="420" w:firstLineChars="200"/>
              <w:jc w:val="left"/>
              <w:rPr>
                <w:rFonts w:ascii="宋体" w:hAnsi="宋体"/>
                <w:bCs/>
                <w:szCs w:val="21"/>
              </w:rPr>
            </w:pPr>
            <w:r>
              <w:rPr>
                <w:rFonts w:hint="eastAsia" w:ascii="宋体" w:hAnsi="宋体"/>
                <w:bCs/>
                <w:szCs w:val="21"/>
              </w:rPr>
              <w:t>2、火灾事故为零。</w:t>
            </w:r>
          </w:p>
          <w:p>
            <w:pPr>
              <w:spacing w:line="360" w:lineRule="auto"/>
              <w:ind w:firstLine="420" w:firstLineChars="200"/>
              <w:jc w:val="left"/>
              <w:rPr>
                <w:rFonts w:ascii="宋体" w:hAnsi="宋体"/>
                <w:bCs/>
                <w:szCs w:val="21"/>
              </w:rPr>
            </w:pPr>
            <w:r>
              <w:rPr>
                <w:rFonts w:hint="eastAsia" w:ascii="宋体" w:hAnsi="宋体"/>
                <w:bCs/>
                <w:szCs w:val="21"/>
              </w:rPr>
              <w:t xml:space="preserve">3、废水、噪声排放达标 </w:t>
            </w:r>
          </w:p>
          <w:p>
            <w:pPr>
              <w:spacing w:line="360" w:lineRule="auto"/>
              <w:ind w:firstLine="420" w:firstLineChars="200"/>
              <w:jc w:val="left"/>
              <w:rPr>
                <w:rFonts w:ascii="宋体" w:hAnsi="宋体"/>
                <w:bCs/>
                <w:szCs w:val="21"/>
              </w:rPr>
            </w:pPr>
            <w:r>
              <w:rPr>
                <w:rFonts w:hint="eastAsia" w:ascii="宋体" w:hAnsi="宋体"/>
                <w:bCs/>
                <w:szCs w:val="21"/>
              </w:rPr>
              <w:t xml:space="preserve">职业健康安全目标 </w:t>
            </w:r>
          </w:p>
          <w:p>
            <w:pPr>
              <w:spacing w:line="360" w:lineRule="auto"/>
              <w:ind w:firstLine="420" w:firstLineChars="200"/>
              <w:jc w:val="left"/>
              <w:rPr>
                <w:rFonts w:ascii="宋体" w:hAnsi="宋体"/>
                <w:bCs/>
                <w:szCs w:val="21"/>
              </w:rPr>
            </w:pPr>
            <w:r>
              <w:rPr>
                <w:rFonts w:hint="eastAsia" w:ascii="宋体" w:hAnsi="宋体"/>
                <w:bCs/>
                <w:szCs w:val="21"/>
              </w:rPr>
              <w:t xml:space="preserve">1、火灾事故为零； </w:t>
            </w:r>
          </w:p>
          <w:p>
            <w:pPr>
              <w:spacing w:line="360" w:lineRule="auto"/>
              <w:ind w:firstLine="420" w:firstLineChars="200"/>
              <w:jc w:val="left"/>
              <w:rPr>
                <w:rFonts w:ascii="宋体" w:hAnsi="宋体"/>
                <w:b/>
                <w:color w:val="000000" w:themeColor="text1"/>
              </w:rPr>
            </w:pPr>
            <w:r>
              <w:rPr>
                <w:rFonts w:hint="eastAsia" w:ascii="宋体" w:hAnsi="宋体"/>
                <w:bCs/>
                <w:szCs w:val="21"/>
              </w:rPr>
              <w:t>2、人身伤亡为零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8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highlight w:val="green"/>
              </w:rPr>
              <w:t>办公场所面积200平方左右，生产场所面积2000平方。</w:t>
            </w:r>
            <w:r>
              <w:rPr>
                <w:rFonts w:hint="eastAsia" w:ascii="宋体" w:hAnsi="宋体" w:cs="宋体"/>
                <w:szCs w:val="21"/>
                <w:highlight w:val="green"/>
              </w:rPr>
              <w:t>主要生产设备包括</w:t>
            </w:r>
            <w:r>
              <w:rPr>
                <w:rFonts w:hint="eastAsia" w:ascii="宋体" w:hAnsi="宋体"/>
                <w:szCs w:val="21"/>
                <w:highlight w:val="green"/>
              </w:rPr>
              <w:t>全自动玻璃切片机、砂带磨边机、铝条切割机、玻璃清洗机、玻璃清洗干燥机、丁胶涂布机、PVB胶膜铺摊机、红外加热初压机、红外蒸压釜、行走吸盘、中空玻璃板压生产线、钢化生产线等，可以满足</w:t>
            </w:r>
            <w:r>
              <w:rPr>
                <w:rFonts w:hint="eastAsia" w:ascii="宋体" w:hAnsi="宋体" w:cs="宋体"/>
                <w:szCs w:val="21"/>
                <w:highlight w:val="green"/>
              </w:rPr>
              <w:t>产品生产需求。对设备按月方式进行维护保养，并实施。特种设备：</w:t>
            </w:r>
            <w:r>
              <w:rPr>
                <w:rFonts w:hint="eastAsia" w:ascii="宋体" w:hAnsi="宋体"/>
                <w:szCs w:val="21"/>
                <w:highlight w:val="green"/>
              </w:rPr>
              <w:t>储气罐、蒸压釜、行车</w:t>
            </w:r>
            <w:r>
              <w:rPr>
                <w:rFonts w:hint="eastAsia" w:ascii="宋体" w:hAnsi="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ascii="宋体" w:hAnsi="宋体"/>
                <w:b/>
                <w:color w:val="000000" w:themeColor="text1"/>
                <w:sz w:val="20"/>
                <w:szCs w:val="20"/>
              </w:rPr>
            </w:pPr>
            <w:r>
              <w:rPr>
                <w:rFonts w:hint="eastAsia" w:ascii="宋体" w:hAnsi="宋体" w:cs="宋体"/>
                <w:szCs w:val="21"/>
              </w:rPr>
              <w:t>查公司</w:t>
            </w:r>
            <w:r>
              <w:rPr>
                <w:rFonts w:hint="eastAsia"/>
                <w:color w:val="000000" w:themeColor="text1"/>
              </w:rPr>
              <w:t>配置有钢直尺、温湿度计、游标卡尺、千分尺、落球冲击框架、霰弹袋冲击试验机等</w:t>
            </w:r>
            <w:r>
              <w:rPr>
                <w:rFonts w:hint="eastAsia" w:ascii="宋体" w:hAnsi="宋体" w:cs="宋体"/>
                <w:color w:val="000000" w:themeColor="text1"/>
                <w:szCs w:val="21"/>
                <w:shd w:val="clear" w:color="auto" w:fill="FFFFFF"/>
              </w:rPr>
              <w:t>，按期校准或检定和自校，</w:t>
            </w:r>
            <w:r>
              <w:rPr>
                <w:rFonts w:hint="eastAsia" w:ascii="宋体" w:hAnsi="宋体" w:cs="宋体"/>
                <w:szCs w:val="21"/>
              </w:rPr>
              <w:t>能保证玻璃加工生产的要求。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color w:val="auto"/>
                <w:sz w:val="20"/>
                <w:szCs w:val="20"/>
              </w:rPr>
              <w:t>消防栓、灭火器、</w:t>
            </w:r>
            <w:r>
              <w:rPr>
                <w:rFonts w:hint="eastAsia" w:ascii="宋体" w:hAnsi="宋体"/>
                <w:color w:val="FF0000"/>
                <w:sz w:val="20"/>
                <w:szCs w:val="20"/>
                <w:highlight w:val="green"/>
              </w:rPr>
              <w:t>布袋吸尘器、冲洗装置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（附相关证据）型式试验报告、监督抽查报告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0"/>
              <w:tabs>
                <w:tab w:val="center" w:pos="3169"/>
              </w:tabs>
              <w:spacing w:line="400" w:lineRule="exact"/>
              <w:ind w:firstLine="0" w:firstLineChars="0"/>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rPr>
              <w:t>潜在火灾、固废废弃物、噪声排放、废水排放</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火灾</w:t>
            </w:r>
            <w:r>
              <w:rPr>
                <w:rFonts w:hint="eastAsia"/>
                <w:szCs w:val="21"/>
                <w:lang w:eastAsia="zh-CN"/>
              </w:rPr>
              <w:t>、</w:t>
            </w:r>
            <w:r>
              <w:rPr>
                <w:rFonts w:hint="eastAsia"/>
                <w:szCs w:val="21"/>
              </w:rPr>
              <w:t>机械伤害</w:t>
            </w:r>
            <w:r>
              <w:rPr>
                <w:rFonts w:hint="eastAsia"/>
                <w:szCs w:val="21"/>
                <w:lang w:eastAsia="zh-CN"/>
              </w:rPr>
              <w:t>、</w:t>
            </w:r>
            <w:r>
              <w:rPr>
                <w:rFonts w:hint="eastAsia"/>
                <w:szCs w:val="21"/>
              </w:rPr>
              <w:t>触电</w:t>
            </w:r>
            <w:r>
              <w:rPr>
                <w:rFonts w:hint="eastAsia" w:ascii="宋体" w:hAnsi="宋体"/>
                <w:szCs w:val="21"/>
              </w:rPr>
              <w:t>、</w:t>
            </w:r>
            <w:r>
              <w:rPr>
                <w:rFonts w:hint="eastAsia" w:ascii="宋体" w:hAnsi="宋体"/>
                <w:color w:val="auto"/>
                <w:szCs w:val="21"/>
              </w:rPr>
              <w:t>烫伤、职业病</w:t>
            </w:r>
            <w:r>
              <w:rPr>
                <w:rFonts w:hint="eastAsia"/>
                <w:szCs w:val="21"/>
              </w:rPr>
              <w:t>）</w:t>
            </w:r>
            <w:r>
              <w:rPr>
                <w:rFonts w:hint="eastAsia" w:asciiTheme="minorEastAsia" w:hAnsiTheme="minorEastAsia" w:eastAsiaTheme="minorEastAsia"/>
                <w:bCs/>
                <w:iCs/>
              </w:rPr>
              <w:t>，与之相关的过程有生产过程，针对不可接受风险制定了管理方案。控制措施实施有效。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green"/>
              </w:rPr>
              <w:t>通过</w:t>
            </w:r>
            <w:r>
              <w:rPr>
                <w:rFonts w:hint="eastAsia" w:ascii="宋体" w:hAnsi="宋体" w:cs="宋体"/>
                <w:szCs w:val="21"/>
                <w:highlight w:val="green"/>
              </w:rPr>
              <w:t>2019年</w:t>
            </w:r>
            <w:r>
              <w:rPr>
                <w:rFonts w:hint="eastAsia" w:ascii="宋体" w:hAnsi="宋体" w:cs="宋体"/>
                <w:szCs w:val="21"/>
                <w:highlight w:val="green"/>
                <w:lang w:val="en-US" w:eastAsia="zh-CN"/>
              </w:rPr>
              <w:t>9月</w:t>
            </w:r>
            <w:r>
              <w:rPr>
                <w:rFonts w:hint="eastAsia" w:ascii="宋体" w:hAnsi="宋体" w:cs="宋体"/>
                <w:szCs w:val="21"/>
                <w:highlight w:val="green"/>
              </w:rPr>
              <w:t>-2020年</w:t>
            </w:r>
            <w:r>
              <w:rPr>
                <w:rFonts w:hint="eastAsia" w:ascii="宋体" w:hAnsi="宋体" w:cs="宋体"/>
                <w:szCs w:val="21"/>
                <w:highlight w:val="green"/>
                <w:lang w:val="en-US" w:eastAsia="zh-CN"/>
              </w:rPr>
              <w:t>2</w:t>
            </w:r>
            <w:r>
              <w:rPr>
                <w:rFonts w:hint="eastAsia" w:ascii="宋体" w:hAnsi="宋体" w:cs="宋体"/>
                <w:szCs w:val="21"/>
                <w:highlight w:val="green"/>
              </w:rPr>
              <w:t>月</w:t>
            </w:r>
            <w:r>
              <w:rPr>
                <w:rFonts w:hint="eastAsia" w:ascii="宋体" w:hAnsi="宋体" w:cs="宋体"/>
                <w:color w:val="000000"/>
                <w:szCs w:val="21"/>
                <w:highlight w:val="green"/>
              </w:rPr>
              <w:t>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green"/>
              </w:rPr>
              <w:t>2020年1月实施，满意度评价98分，总体实现了顾客满意度的质量目标要求。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建立有《内部审核控制程序》，规定了内审频次一年一次，内审时间：2019年11月10日，拟定了审核实施表，明确了内审范围，内审人员经培训合格上岗，能力满足要求，未出现审核本部门情况，</w:t>
            </w:r>
            <w:r>
              <w:rPr>
                <w:rFonts w:hint="eastAsia"/>
                <w:szCs w:val="22"/>
              </w:rPr>
              <w:t>《内审不符合项报告》2份，</w:t>
            </w:r>
            <w:r>
              <w:rPr>
                <w:rFonts w:hint="eastAsia" w:ascii="宋体" w:hAnsi="宋体"/>
                <w:szCs w:val="21"/>
              </w:rPr>
              <w:t>涉及生产技术部ES8.2条款未编制“事故应急预案”和供销部Q9.1.2条款未对对顾客满意度进行分析，针对该不符合项，已及时采取纠正措施后，经内审员验证关闭。内审的有效性需要改善。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2019年12月10日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有检测、满足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有检测，满足要求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green"/>
        </w:rPr>
      </w:pPr>
      <w:r>
        <w:rPr>
          <w:rFonts w:hint="eastAsia"/>
          <w:b/>
          <w:color w:val="000000" w:themeColor="text1"/>
          <w:highlight w:val="green"/>
        </w:rPr>
        <w:t>1. 本次审核共开具不符合项报告</w:t>
      </w:r>
      <w:r>
        <w:rPr>
          <w:rFonts w:hint="eastAsia"/>
          <w:b/>
          <w:highlight w:val="green"/>
        </w:rPr>
        <w:t>1项；其中</w:t>
      </w:r>
      <w:r>
        <w:rPr>
          <w:b/>
          <w:highlight w:val="green"/>
        </w:rPr>
        <w:pict>
          <v:line id="直接连接符 1" o:spid="_x0000_s2052" o:spt="20" style="position:absolute;left:0pt;margin-left:210pt;margin-top:16.2pt;height:0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green"/>
        </w:rPr>
        <w:t>严重不符合 0项，一般不符合 1项，观察项0项，分</w:t>
      </w:r>
      <w:r>
        <w:rPr>
          <w:rFonts w:hint="eastAsia"/>
          <w:b/>
          <w:color w:val="000000" w:themeColor="text1"/>
          <w:highlight w:val="green"/>
        </w:rPr>
        <w:t>布在部门生产技术部条款Q8.5.1，分布见附件。（Q/J/E/S分开填写）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jc w:val="both"/>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：钢化玻璃的生产（3C证书范围内）</w:t>
            </w:r>
            <w:r>
              <w:rPr>
                <w:rFonts w:hint="eastAsia" w:ascii="宋体" w:hAnsi="宋体"/>
                <w:szCs w:val="21"/>
                <w:lang w:eastAsia="zh-CN"/>
              </w:rPr>
              <w:t>。</w:t>
            </w:r>
          </w:p>
          <w:p>
            <w:pPr>
              <w:jc w:val="both"/>
              <w:rPr>
                <w:rFonts w:hint="eastAsia" w:ascii="宋体" w:hAnsi="宋体" w:eastAsia="宋体"/>
                <w:szCs w:val="21"/>
                <w:lang w:val="en-US"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：钢化玻璃的生产（3C证书范围内）所涉及的相关环境管理活动</w:t>
            </w:r>
            <w:r>
              <w:rPr>
                <w:rFonts w:hint="eastAsia" w:ascii="宋体" w:hAnsi="宋体"/>
                <w:szCs w:val="21"/>
                <w:lang w:val="en-US" w:eastAsia="zh-CN"/>
              </w:rPr>
              <w:t>.</w:t>
            </w:r>
          </w:p>
          <w:p>
            <w:pPr>
              <w:jc w:val="both"/>
              <w:rPr>
                <w:b/>
                <w:color w:val="000000" w:themeColor="text1"/>
                <w:spacing w:val="-10"/>
                <w:sz w:val="22"/>
                <w:szCs w:val="22"/>
                <w:lang w:val="en-GB"/>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：钢化玻璃的生产（3C证书范围内）所涉及的相关职业健康安全管理活动。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：本次审核为远程审核，后续安排现场审核进行核验。</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b/>
          <w:color w:val="000000" w:themeColor="text1"/>
          <w:sz w:val="26"/>
          <w:szCs w:val="26"/>
        </w:rPr>
        <w:drawing>
          <wp:anchor distT="0" distB="0" distL="0" distR="0" simplePos="0" relativeHeight="251660288" behindDoc="0" locked="0" layoutInCell="1" allowOverlap="1">
            <wp:simplePos x="0" y="0"/>
            <wp:positionH relativeFrom="column">
              <wp:posOffset>1518920</wp:posOffset>
            </wp:positionH>
            <wp:positionV relativeFrom="paragraph">
              <wp:posOffset>316230</wp:posOffset>
            </wp:positionV>
            <wp:extent cx="377190" cy="386080"/>
            <wp:effectExtent l="0" t="0" r="3810" b="10160"/>
            <wp:wrapNone/>
            <wp:docPr id="30"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Administrator\Desktop\新文档 2019-09-04 21.08.47.jpg"/>
                    <pic:cNvPicPr>
                      <a:picLocks noChangeAspect="1" noChangeArrowheads="1"/>
                    </pic:cNvPicPr>
                  </pic:nvPicPr>
                  <pic:blipFill>
                    <a:blip r:embed="rId6" cstate="print"/>
                    <a:srcRect/>
                    <a:stretch>
                      <a:fillRect/>
                    </a:stretch>
                  </pic:blipFill>
                  <pic:spPr>
                    <a:xfrm>
                      <a:off x="0" y="0"/>
                      <a:ext cx="377190" cy="386243"/>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sz w:val="22"/>
          <w:szCs w:val="22"/>
        </w:rPr>
        <w:drawing>
          <wp:anchor distT="0" distB="0" distL="0" distR="0" simplePos="0" relativeHeight="251661312" behindDoc="0" locked="0" layoutInCell="1" allowOverlap="1">
            <wp:simplePos x="0" y="0"/>
            <wp:positionH relativeFrom="column">
              <wp:posOffset>2116455</wp:posOffset>
            </wp:positionH>
            <wp:positionV relativeFrom="paragraph">
              <wp:posOffset>346710</wp:posOffset>
            </wp:positionV>
            <wp:extent cx="620395" cy="389255"/>
            <wp:effectExtent l="0" t="0" r="4445" b="6985"/>
            <wp:wrapNone/>
            <wp:docPr id="3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20395" cy="389255"/>
                    </a:xfrm>
                    <a:prstGeom prst="rect">
                      <a:avLst/>
                    </a:prstGeom>
                    <a:noFill/>
                    <a:ln w="9525">
                      <a:noFill/>
                      <a:miter lim="800000"/>
                      <a:headEnd/>
                      <a:tailEnd/>
                    </a:ln>
                  </pic:spPr>
                </pic:pic>
              </a:graphicData>
            </a:graphic>
          </wp:anchor>
        </w:drawing>
      </w:r>
      <w:r>
        <w:rPr>
          <w:sz w:val="22"/>
          <w:szCs w:val="22"/>
        </w:rPr>
        <w:drawing>
          <wp:anchor distT="0" distB="0" distL="0" distR="0" simplePos="0" relativeHeight="251662336" behindDoc="0" locked="0" layoutInCell="1" allowOverlap="1">
            <wp:simplePos x="0" y="0"/>
            <wp:positionH relativeFrom="column">
              <wp:posOffset>1574165</wp:posOffset>
            </wp:positionH>
            <wp:positionV relativeFrom="paragraph">
              <wp:posOffset>322580</wp:posOffset>
            </wp:positionV>
            <wp:extent cx="491490" cy="374015"/>
            <wp:effectExtent l="0" t="0" r="11430" b="6985"/>
            <wp:wrapNone/>
            <wp:docPr id="3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C:\Users\Administrator\Desktop\签名.jpg"/>
                    <pic:cNvPicPr>
                      <a:picLocks noChangeAspect="1" noChangeArrowheads="1"/>
                    </pic:cNvPicPr>
                  </pic:nvPicPr>
                  <pic:blipFill>
                    <a:blip r:embed="rId8" cstate="print"/>
                    <a:srcRect/>
                    <a:stretch>
                      <a:fillRect/>
                    </a:stretch>
                  </pic:blipFill>
                  <pic:spPr>
                    <a:xfrm>
                      <a:off x="0" y="0"/>
                      <a:ext cx="494032" cy="37629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beforeLines="50" w:line="360" w:lineRule="auto"/>
        <w:rPr>
          <w:sz w:val="22"/>
          <w:szCs w:val="22"/>
        </w:rPr>
      </w:pPr>
      <w:r>
        <w:rPr>
          <w:rFonts w:hint="eastAsia"/>
          <w:b/>
          <w:color w:val="000000" w:themeColor="text1"/>
          <w:sz w:val="26"/>
          <w:szCs w:val="26"/>
        </w:rPr>
        <w:t>审核组组员（签名）：</w:t>
      </w:r>
    </w:p>
    <w:p>
      <w:pPr>
        <w:snapToGrid w:val="0"/>
        <w:spacing w:line="360" w:lineRule="auto"/>
        <w:ind w:firstLine="5060" w:firstLineChars="2400"/>
        <w:rPr>
          <w:b/>
          <w:color w:val="000000" w:themeColor="text1"/>
          <w:sz w:val="16"/>
          <w:szCs w:val="16"/>
        </w:rPr>
      </w:pPr>
      <w:r>
        <w:rPr>
          <w:rFonts w:hint="eastAsia"/>
          <w:b/>
          <w:color w:val="000000" w:themeColor="text1"/>
        </w:rPr>
        <w:t xml:space="preserve">日期： 2020 </w:t>
      </w:r>
      <w:r>
        <w:rPr>
          <w:rFonts w:hint="eastAsia" w:asciiTheme="minorEastAsia" w:hAnsiTheme="minorEastAsia" w:eastAsiaTheme="minorEastAsia"/>
          <w:b/>
          <w:color w:val="000000" w:themeColor="text1"/>
        </w:rPr>
        <w:t xml:space="preserve">年  3 月 </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1)个一般不符合，( 0 )个严重不符合，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b/>
          <w:color w:val="000000" w:themeColor="text1"/>
          <w:szCs w:val="21"/>
        </w:rPr>
        <w:drawing>
          <wp:anchor distT="0" distB="0" distL="0" distR="0" simplePos="0" relativeHeight="251659264" behindDoc="0" locked="0" layoutInCell="1" allowOverlap="1">
            <wp:simplePos x="0" y="0"/>
            <wp:positionH relativeFrom="column">
              <wp:posOffset>713105</wp:posOffset>
            </wp:positionH>
            <wp:positionV relativeFrom="paragraph">
              <wp:posOffset>131445</wp:posOffset>
            </wp:positionV>
            <wp:extent cx="377190" cy="386080"/>
            <wp:effectExtent l="0" t="0" r="3810" b="10160"/>
            <wp:wrapNone/>
            <wp:docPr id="3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Administrator\Desktop\新文档 2019-09-04 21.08.47.jpg"/>
                    <pic:cNvPicPr>
                      <a:picLocks noChangeAspect="1" noChangeArrowheads="1"/>
                    </pic:cNvPicPr>
                  </pic:nvPicPr>
                  <pic:blipFill>
                    <a:blip r:embed="rId6" cstate="print"/>
                    <a:srcRect/>
                    <a:stretch>
                      <a:fillRect/>
                    </a:stretch>
                  </pic:blipFill>
                  <pic:spPr>
                    <a:xfrm>
                      <a:off x="0" y="0"/>
                      <a:ext cx="377190" cy="386243"/>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highlight w:val="green"/>
        </w:rPr>
        <w:t xml:space="preserve"> 2020 年3月 16日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w:t>
      </w:r>
      <w:r>
        <w:rPr>
          <w:rFonts w:hint="eastAsia"/>
          <w:b/>
          <w:color w:val="000000" w:themeColor="text1"/>
          <w:lang w:val="en-US" w:eastAsia="zh-CN"/>
        </w:rPr>
        <w:t xml:space="preserve">   </w:t>
      </w:r>
      <w:bookmarkStart w:id="22" w:name="_GoBack"/>
      <w:bookmarkEnd w:id="22"/>
      <w:r>
        <w:rPr>
          <w:rFonts w:hint="eastAsia"/>
          <w:b/>
          <w:color w:val="000000" w:themeColor="text1"/>
        </w:rPr>
        <w:t>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1A7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2020-03-28T12:50:59Z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