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47"/>
        <w:gridCol w:w="1512"/>
        <w:gridCol w:w="567"/>
        <w:gridCol w:w="446"/>
        <w:gridCol w:w="972"/>
        <w:gridCol w:w="425"/>
        <w:gridCol w:w="425"/>
        <w:gridCol w:w="165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重庆乔盛实业有限公司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7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0081-2020-QEO</w:t>
            </w:r>
            <w:bookmarkEnd w:id="1"/>
          </w:p>
        </w:tc>
        <w:tc>
          <w:tcPr>
            <w:tcW w:w="151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张建平</w:t>
            </w:r>
            <w:bookmarkEnd w:id="5"/>
          </w:p>
        </w:tc>
        <w:tc>
          <w:tcPr>
            <w:tcW w:w="151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15310100165</w:t>
            </w:r>
            <w:bookmarkEnd w:id="6"/>
          </w:p>
        </w:tc>
        <w:tc>
          <w:tcPr>
            <w:tcW w:w="139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40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51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013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397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Q：钢化玻璃的生产（3C证书范围内）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E：钢化玻璃的生产（3C证书范围内）所涉及的相关环境管理活动</w:t>
            </w:r>
          </w:p>
          <w:p>
            <w:r>
              <w:rPr>
                <w:sz w:val="21"/>
                <w:szCs w:val="21"/>
              </w:rPr>
              <w:t>O：钢化玻璃的生产（3C证书范围内）所涉及的相关职业健康安全管理活动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Q：15.01.02</w:t>
            </w:r>
          </w:p>
          <w:p>
            <w:r>
              <w:t>E：15.01.02</w:t>
            </w:r>
          </w:p>
          <w:p>
            <w:r>
              <w:t>O：15.01.02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2020年03月28日 上午至2020年03月28日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O:15.01.02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2020.3.27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pPr w:leftFromText="180" w:rightFromText="180" w:vertAnchor="text" w:horzAnchor="page" w:tblpX="1162" w:tblpY="-132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28</w:t>
            </w:r>
            <w:bookmarkStart w:id="14" w:name="_GoBack"/>
            <w:bookmarkEnd w:id="14"/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文平、</w:t>
            </w: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文平、</w:t>
            </w: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B11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2020-03-26T08:57:45Z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