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0078-2020-QEO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重庆跃达电力设备有限公司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重庆市江北区港城东路2号5幢5-1</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重庆市江北区港城东路2号5幢5-1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91500105774875193G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15223440235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吴跃波</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孙利</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Q：真空断路器、柱上单相隔离开关、户外交流高压跌落式熔断器的生产（资质许可范围内除外）</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E：真空断路器、柱上单相隔离开关、户外交流高压跌落式熔断器的生产（资质许可范围内除外）所涉及的相关环境管理活动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O：真空断路器、柱上单相隔离开关、户外交流高压跌落式熔断器的生产(资质许可范围内除外）所涉及的相关职业健康安全管理活动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b/>
          <w:color w:val="000000" w:themeColor="text1"/>
          <w:sz w:val="22"/>
          <w:szCs w:val="22"/>
        </w:rPr>
        <w:drawing>
          <wp:anchor distT="0" distB="0" distL="0" distR="0" simplePos="0" relativeHeight="251658240" behindDoc="0" locked="0" layoutInCell="1" allowOverlap="1">
            <wp:simplePos x="0" y="0"/>
            <wp:positionH relativeFrom="column">
              <wp:posOffset>4083050</wp:posOffset>
            </wp:positionH>
            <wp:positionV relativeFrom="paragraph">
              <wp:posOffset>-30480</wp:posOffset>
            </wp:positionV>
            <wp:extent cx="504825" cy="316865"/>
            <wp:effectExtent l="0" t="0" r="13335" b="3175"/>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504825" cy="316865"/>
                    </a:xfrm>
                    <a:prstGeom prst="rect">
                      <a:avLst/>
                    </a:prstGeom>
                    <a:noFill/>
                    <a:ln w="9525">
                      <a:noFill/>
                      <a:miter lim="800000"/>
                      <a:headEnd/>
                      <a:tailEnd/>
                    </a:ln>
                  </pic:spPr>
                </pic:pic>
              </a:graphicData>
            </a:graphic>
          </wp:anchor>
        </w:drawing>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日期：2020.3.</w:t>
      </w:r>
      <w:r>
        <w:rPr>
          <w:rFonts w:hint="eastAsia"/>
          <w:b/>
          <w:color w:val="000000" w:themeColor="text1"/>
          <w:sz w:val="22"/>
          <w:szCs w:val="22"/>
          <w:lang w:val="en-US" w:eastAsia="zh-CN"/>
        </w:rPr>
        <w:t>29</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5239A9"/>
    <w:rsid w:val="49950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2020-03-27T08:24:07Z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