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10466-2023-H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邯郸市鑫冠禽业有限公司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91130430563236383U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邯郸市鑫冠禽业有限公司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河北省邯郸市邱县南辛店乡黄河套村西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河北省邯郸市邱县南辛店乡黄河套村西</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位于河北省邯郸市邱县南辛店乡黄河套村西邯郸市鑫冠禽业有限公司鸡蛋的销售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邯郸市鑫冠禽业有限公司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河北省邯郸市邱县南辛店乡黄河套村西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河北省邯郸市邱县南辛店乡黄河套村西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位于河北省邯郸市邱县南辛店乡黄河套村西邯郸市鑫冠禽业有限公司鸡蛋的销售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