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106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276"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涉及条款</w:t>
            </w:r>
          </w:p>
        </w:tc>
        <w:tc>
          <w:tcPr>
            <w:tcW w:w="10606" w:type="dxa"/>
            <w:vAlign w:val="center"/>
          </w:tcPr>
          <w:p>
            <w:pPr>
              <w:spacing w:line="360" w:lineRule="auto"/>
              <w:rPr>
                <w:rFonts w:ascii="楷体" w:hAnsi="楷体" w:eastAsia="楷体"/>
                <w:sz w:val="24"/>
                <w:szCs w:val="24"/>
              </w:rPr>
            </w:pPr>
            <w:r>
              <w:rPr>
                <w:rFonts w:hint="eastAsia" w:ascii="楷体" w:hAnsi="楷体" w:eastAsia="楷体"/>
                <w:sz w:val="24"/>
                <w:szCs w:val="24"/>
              </w:rPr>
              <w:t>受审核部门：行政部  主管领导：顾克彪</w:t>
            </w:r>
            <w:r>
              <w:rPr>
                <w:rFonts w:hint="eastAsia"/>
                <w:szCs w:val="22"/>
              </w:rPr>
              <w:t xml:space="preserve">  </w:t>
            </w:r>
            <w:r>
              <w:rPr>
                <w:rFonts w:hint="eastAsia" w:ascii="楷体" w:hAnsi="楷体" w:eastAsia="楷体"/>
                <w:sz w:val="24"/>
                <w:szCs w:val="24"/>
              </w:rPr>
              <w:t>陪同人员：杨振鹤</w:t>
            </w:r>
          </w:p>
        </w:tc>
        <w:tc>
          <w:tcPr>
            <w:tcW w:w="1585"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spacing w:line="360" w:lineRule="auto"/>
              <w:rPr>
                <w:rFonts w:ascii="楷体" w:hAnsi="楷体" w:eastAsia="楷体"/>
                <w:sz w:val="24"/>
                <w:szCs w:val="24"/>
              </w:rPr>
            </w:pPr>
          </w:p>
        </w:tc>
        <w:tc>
          <w:tcPr>
            <w:tcW w:w="1276" w:type="dxa"/>
            <w:vMerge w:val="continue"/>
            <w:vAlign w:val="center"/>
          </w:tcPr>
          <w:p>
            <w:pPr>
              <w:spacing w:line="360" w:lineRule="auto"/>
              <w:rPr>
                <w:rFonts w:ascii="楷体" w:hAnsi="楷体" w:eastAsia="楷体"/>
                <w:sz w:val="24"/>
                <w:szCs w:val="24"/>
              </w:rPr>
            </w:pPr>
          </w:p>
        </w:tc>
        <w:tc>
          <w:tcPr>
            <w:tcW w:w="10606" w:type="dxa"/>
            <w:vAlign w:val="center"/>
          </w:tcPr>
          <w:p>
            <w:pPr>
              <w:spacing w:before="120" w:line="360" w:lineRule="auto"/>
              <w:rPr>
                <w:rFonts w:ascii="楷体" w:hAnsi="楷体" w:eastAsia="楷体"/>
                <w:sz w:val="24"/>
                <w:szCs w:val="24"/>
              </w:rPr>
            </w:pPr>
            <w:r>
              <w:rPr>
                <w:rFonts w:hint="eastAsia" w:ascii="楷体" w:hAnsi="楷体" w:eastAsia="楷体"/>
                <w:sz w:val="24"/>
                <w:szCs w:val="24"/>
              </w:rPr>
              <w:t>审核员：伍光华、文波</w:t>
            </w:r>
            <w:r>
              <w:rPr>
                <w:rFonts w:hint="eastAsia" w:ascii="楷体" w:hAnsi="楷体" w:eastAsia="楷体"/>
                <w:sz w:val="24"/>
                <w:szCs w:val="24"/>
                <w:lang w:eastAsia="zh-CN"/>
              </w:rPr>
              <w:t>（</w:t>
            </w:r>
            <w:r>
              <w:rPr>
                <w:rFonts w:hint="eastAsia" w:ascii="楷体" w:hAnsi="楷体" w:eastAsia="楷体"/>
                <w:sz w:val="24"/>
                <w:szCs w:val="24"/>
                <w:lang w:val="en-US" w:eastAsia="zh-CN"/>
              </w:rPr>
              <w:t>实习</w:t>
            </w:r>
            <w:r>
              <w:rPr>
                <w:rFonts w:hint="eastAsia" w:ascii="楷体" w:hAnsi="楷体" w:eastAsia="楷体"/>
                <w:sz w:val="24"/>
                <w:szCs w:val="24"/>
                <w:lang w:eastAsia="zh-CN"/>
              </w:rPr>
              <w:t>）</w:t>
            </w:r>
            <w:r>
              <w:rPr>
                <w:rFonts w:hint="eastAsia" w:ascii="楷体" w:hAnsi="楷体" w:eastAsia="楷体"/>
                <w:sz w:val="24"/>
                <w:szCs w:val="24"/>
              </w:rPr>
              <w:t xml:space="preserve">  审核时间：2020.3.26</w:t>
            </w:r>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spacing w:line="360" w:lineRule="auto"/>
              <w:rPr>
                <w:rFonts w:ascii="楷体" w:hAnsi="楷体" w:eastAsia="楷体"/>
                <w:sz w:val="24"/>
                <w:szCs w:val="24"/>
              </w:rPr>
            </w:pPr>
          </w:p>
        </w:tc>
        <w:tc>
          <w:tcPr>
            <w:tcW w:w="1276" w:type="dxa"/>
            <w:vMerge w:val="continue"/>
            <w:vAlign w:val="center"/>
          </w:tcPr>
          <w:p>
            <w:pPr>
              <w:spacing w:line="360" w:lineRule="auto"/>
              <w:rPr>
                <w:rFonts w:ascii="楷体" w:hAnsi="楷体" w:eastAsia="楷体"/>
                <w:sz w:val="24"/>
                <w:szCs w:val="24"/>
              </w:rPr>
            </w:pPr>
          </w:p>
        </w:tc>
        <w:tc>
          <w:tcPr>
            <w:tcW w:w="10606" w:type="dxa"/>
            <w:vAlign w:val="center"/>
          </w:tcPr>
          <w:p>
            <w:pPr>
              <w:adjustRightInd w:val="0"/>
              <w:snapToGrid w:val="0"/>
              <w:ind w:right="105" w:rightChars="50"/>
              <w:textAlignment w:val="baseline"/>
              <w:rPr>
                <w:rFonts w:ascii="楷体" w:hAnsi="楷体" w:eastAsia="楷体" w:cs="宋体"/>
                <w:szCs w:val="21"/>
              </w:rPr>
            </w:pPr>
            <w:r>
              <w:rPr>
                <w:rFonts w:hint="eastAsia" w:ascii="楷体" w:hAnsi="楷体" w:eastAsia="楷体" w:cs="宋体"/>
                <w:szCs w:val="21"/>
              </w:rPr>
              <w:t>审核条款： OHSMS（指导实习）: 5.3组织的岗位、职责和权限、6.2.1职业健康安全目标、6.2.2实现职业健康安全目标措施的策划7.2能力、7.3意识、7.5.1形成文件的信息总则、7.5.2形成文件的信息的创建和更新、7.5.3形成文件的信息的控制、9.2 内部审核、10.2不符合/事件和纠正措施，6.1.2危险源的辨识与评价、6.1.3合规义务、6.1.4措施的策划、8.1运行策划和控制、9.1监视、测量、分析和评价（9.1.1总则、9.1.2合规性评价）、8.2应急准备和响应,</w:t>
            </w:r>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组织的岗位、职责和权限</w:t>
            </w:r>
          </w:p>
        </w:tc>
        <w:tc>
          <w:tcPr>
            <w:tcW w:w="1276" w:type="dxa"/>
          </w:tcPr>
          <w:p>
            <w:pPr>
              <w:spacing w:line="360" w:lineRule="auto"/>
              <w:rPr>
                <w:rFonts w:ascii="楷体" w:hAnsi="楷体" w:eastAsia="楷体" w:cs="Arial"/>
                <w:sz w:val="24"/>
                <w:szCs w:val="24"/>
              </w:rPr>
            </w:pPr>
            <w:r>
              <w:rPr>
                <w:rFonts w:hint="eastAsia" w:ascii="楷体" w:hAnsi="楷体" w:eastAsia="楷体" w:cs="Arial"/>
                <w:sz w:val="24"/>
                <w:szCs w:val="24"/>
              </w:rPr>
              <w:t>O5.3</w:t>
            </w:r>
          </w:p>
        </w:tc>
        <w:tc>
          <w:tcPr>
            <w:tcW w:w="10606" w:type="dxa"/>
          </w:tcPr>
          <w:p>
            <w:pPr>
              <w:spacing w:beforeLines="69" w:line="360" w:lineRule="auto"/>
              <w:ind w:firstLine="480" w:firstLineChars="200"/>
              <w:rPr>
                <w:rFonts w:ascii="楷体" w:hAnsi="楷体" w:eastAsia="楷体"/>
                <w:sz w:val="24"/>
                <w:szCs w:val="24"/>
              </w:rPr>
            </w:pPr>
            <w:r>
              <w:rPr>
                <w:rFonts w:hint="eastAsia" w:ascii="楷体" w:hAnsi="楷体" w:eastAsia="楷体" w:cs="宋体"/>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法律法规收集及合规性评价，应急准备和相应控制，不符合纠正与预防，事故事件调查处理等。</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目标和方案</w:t>
            </w:r>
          </w:p>
        </w:tc>
        <w:tc>
          <w:tcPr>
            <w:tcW w:w="1276"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O6.2</w:t>
            </w:r>
          </w:p>
        </w:tc>
        <w:tc>
          <w:tcPr>
            <w:tcW w:w="10606" w:type="dxa"/>
            <w:vAlign w:val="center"/>
          </w:tcPr>
          <w:p>
            <w:pPr>
              <w:autoSpaceDE w:val="0"/>
              <w:autoSpaceDN w:val="0"/>
              <w:spacing w:line="360" w:lineRule="auto"/>
              <w:ind w:firstLine="480" w:firstLineChars="200"/>
              <w:rPr>
                <w:rFonts w:ascii="楷体" w:hAnsi="楷体" w:eastAsia="楷体" w:cs="宋体"/>
                <w:sz w:val="24"/>
                <w:szCs w:val="24"/>
              </w:rPr>
            </w:pPr>
            <w:r>
              <w:rPr>
                <w:rFonts w:ascii="楷体" w:hAnsi="楷体" w:eastAsia="楷体" w:cs="宋体"/>
                <w:sz w:val="24"/>
                <w:szCs w:val="24"/>
              </w:rPr>
              <w:t>查行政部环境</w:t>
            </w:r>
            <w:r>
              <w:rPr>
                <w:rFonts w:hint="eastAsia" w:ascii="楷体" w:hAnsi="楷体" w:eastAsia="楷体" w:cs="宋体"/>
                <w:sz w:val="24"/>
                <w:szCs w:val="24"/>
              </w:rPr>
              <w:t>/职业健康</w:t>
            </w:r>
            <w:r>
              <w:rPr>
                <w:rFonts w:ascii="楷体" w:hAnsi="楷体" w:eastAsia="楷体" w:cs="宋体"/>
                <w:sz w:val="24"/>
                <w:szCs w:val="24"/>
              </w:rPr>
              <w:t>目标</w:t>
            </w:r>
            <w:r>
              <w:rPr>
                <w:rFonts w:hint="eastAsia" w:ascii="楷体" w:hAnsi="楷体" w:eastAsia="楷体" w:cs="宋体"/>
                <w:sz w:val="24"/>
                <w:szCs w:val="24"/>
              </w:rPr>
              <w:t>：</w:t>
            </w:r>
          </w:p>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1.文件受控率达100%</w:t>
            </w:r>
          </w:p>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 xml:space="preserve">2.培训合格率达100% </w:t>
            </w:r>
          </w:p>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3.触电、火灾事故为0、</w:t>
            </w:r>
          </w:p>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4.固废分类处置率100%；</w:t>
            </w:r>
          </w:p>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2</w:t>
            </w:r>
            <w:r>
              <w:rPr>
                <w:rFonts w:ascii="楷体" w:hAnsi="楷体" w:eastAsia="楷体" w:cs="宋体"/>
                <w:sz w:val="24"/>
                <w:szCs w:val="24"/>
              </w:rPr>
              <w:t>019.12.29</w:t>
            </w:r>
            <w:r>
              <w:rPr>
                <w:rFonts w:hint="eastAsia" w:ascii="楷体" w:hAnsi="楷体" w:eastAsia="楷体" w:cs="宋体"/>
                <w:sz w:val="24"/>
                <w:szCs w:val="24"/>
              </w:rPr>
              <w:t>日经考核已完成；2020年度由于疫情影响公司三月刚上班，目标暂未考核，预计6月前完成；。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抽环境目标管理方案，明确了措施、责任人、时间、资金投入要求。</w:t>
            </w:r>
          </w:p>
          <w:tbl>
            <w:tblPr>
              <w:tblStyle w:val="10"/>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426"/>
              <w:gridCol w:w="4703"/>
              <w:gridCol w:w="1222"/>
              <w:gridCol w:w="983"/>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027" w:type="dxa"/>
                </w:tcPr>
                <w:p>
                  <w:pPr>
                    <w:spacing w:line="240" w:lineRule="exact"/>
                    <w:rPr>
                      <w:rFonts w:ascii="楷体" w:hAnsi="楷体" w:eastAsia="楷体"/>
                    </w:rPr>
                  </w:pPr>
                  <w:r>
                    <w:rPr>
                      <w:rFonts w:hint="eastAsia" w:ascii="楷体" w:hAnsi="楷体" w:eastAsia="楷体"/>
                    </w:rPr>
                    <w:t>环安目标</w:t>
                  </w:r>
                </w:p>
              </w:tc>
              <w:tc>
                <w:tcPr>
                  <w:tcW w:w="1304" w:type="dxa"/>
                </w:tcPr>
                <w:p>
                  <w:pPr>
                    <w:spacing w:line="240" w:lineRule="exact"/>
                    <w:rPr>
                      <w:rFonts w:ascii="楷体" w:hAnsi="楷体" w:eastAsia="楷体"/>
                    </w:rPr>
                  </w:pPr>
                  <w:r>
                    <w:rPr>
                      <w:rFonts w:hint="eastAsia" w:ascii="楷体" w:hAnsi="楷体" w:eastAsia="楷体"/>
                    </w:rPr>
                    <w:t>指标</w:t>
                  </w:r>
                </w:p>
              </w:tc>
              <w:tc>
                <w:tcPr>
                  <w:tcW w:w="4299" w:type="dxa"/>
                </w:tcPr>
                <w:p>
                  <w:pPr>
                    <w:spacing w:line="240" w:lineRule="exact"/>
                    <w:rPr>
                      <w:rFonts w:ascii="楷体" w:hAnsi="楷体" w:eastAsia="楷体"/>
                    </w:rPr>
                  </w:pPr>
                  <w:r>
                    <w:rPr>
                      <w:rFonts w:hint="eastAsia" w:ascii="楷体" w:hAnsi="楷体" w:eastAsia="楷体"/>
                    </w:rPr>
                    <w:t>措施</w:t>
                  </w:r>
                </w:p>
              </w:tc>
              <w:tc>
                <w:tcPr>
                  <w:tcW w:w="1117" w:type="dxa"/>
                </w:tcPr>
                <w:p>
                  <w:pPr>
                    <w:spacing w:line="240" w:lineRule="exact"/>
                    <w:rPr>
                      <w:rFonts w:ascii="楷体" w:hAnsi="楷体" w:eastAsia="楷体"/>
                    </w:rPr>
                  </w:pPr>
                  <w:r>
                    <w:rPr>
                      <w:rFonts w:hint="eastAsia" w:ascii="楷体" w:hAnsi="楷体" w:eastAsia="楷体"/>
                    </w:rPr>
                    <w:t>时间要求</w:t>
                  </w:r>
                </w:p>
              </w:tc>
              <w:tc>
                <w:tcPr>
                  <w:tcW w:w="899" w:type="dxa"/>
                </w:tcPr>
                <w:p>
                  <w:pPr>
                    <w:spacing w:line="240" w:lineRule="exact"/>
                    <w:rPr>
                      <w:rFonts w:ascii="楷体" w:hAnsi="楷体" w:eastAsia="楷体"/>
                    </w:rPr>
                  </w:pPr>
                  <w:r>
                    <w:rPr>
                      <w:rFonts w:hint="eastAsia" w:ascii="楷体" w:hAnsi="楷体" w:eastAsia="楷体"/>
                    </w:rPr>
                    <w:t>责任部门</w:t>
                  </w:r>
                </w:p>
              </w:tc>
              <w:tc>
                <w:tcPr>
                  <w:tcW w:w="684" w:type="dxa"/>
                </w:tcPr>
                <w:p>
                  <w:pPr>
                    <w:spacing w:line="240" w:lineRule="exact"/>
                    <w:rPr>
                      <w:rFonts w:ascii="楷体" w:hAnsi="楷体" w:eastAsia="楷体"/>
                    </w:rPr>
                  </w:pPr>
                  <w:r>
                    <w:rPr>
                      <w:rFonts w:hint="eastAsia" w:ascii="楷体" w:hAnsi="楷体" w:eastAsia="楷体"/>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8" w:hRule="atLeast"/>
              </w:trPr>
              <w:tc>
                <w:tcPr>
                  <w:tcW w:w="1027" w:type="dxa"/>
                </w:tcPr>
                <w:p>
                  <w:pPr>
                    <w:spacing w:line="240" w:lineRule="exact"/>
                    <w:rPr>
                      <w:rFonts w:ascii="楷体" w:hAnsi="楷体" w:eastAsia="楷体"/>
                    </w:rPr>
                  </w:pPr>
                  <w:r>
                    <w:rPr>
                      <w:rFonts w:hint="eastAsia" w:ascii="楷体" w:hAnsi="楷体" w:eastAsia="楷体"/>
                    </w:rPr>
                    <w:t>1、固体废弃物分类处置。</w:t>
                  </w:r>
                </w:p>
              </w:tc>
              <w:tc>
                <w:tcPr>
                  <w:tcW w:w="1304" w:type="dxa"/>
                </w:tcPr>
                <w:p>
                  <w:pPr>
                    <w:spacing w:line="240" w:lineRule="exact"/>
                    <w:rPr>
                      <w:rFonts w:ascii="楷体" w:hAnsi="楷体" w:eastAsia="楷体"/>
                    </w:rPr>
                  </w:pPr>
                  <w:r>
                    <w:rPr>
                      <w:rFonts w:hint="eastAsia" w:ascii="楷体" w:hAnsi="楷体" w:eastAsia="楷体"/>
                    </w:rPr>
                    <w:t>固体废弃物分类处置率100%</w:t>
                  </w:r>
                </w:p>
              </w:tc>
              <w:tc>
                <w:tcPr>
                  <w:tcW w:w="4299" w:type="dxa"/>
                </w:tcPr>
                <w:p>
                  <w:pPr>
                    <w:spacing w:line="240" w:lineRule="exact"/>
                    <w:rPr>
                      <w:rFonts w:ascii="楷体" w:hAnsi="楷体" w:eastAsia="楷体"/>
                    </w:rPr>
                  </w:pPr>
                  <w:r>
                    <w:rPr>
                      <w:rFonts w:hint="eastAsia" w:ascii="楷体" w:hAnsi="楷体" w:eastAsia="楷体"/>
                    </w:rPr>
                    <w:t>1、 对全体员工进行关于固体废弃物分类要求的培训；</w:t>
                  </w:r>
                </w:p>
                <w:p>
                  <w:pPr>
                    <w:spacing w:line="240" w:lineRule="exact"/>
                    <w:rPr>
                      <w:rFonts w:ascii="楷体" w:hAnsi="楷体" w:eastAsia="楷体"/>
                    </w:rPr>
                  </w:pPr>
                  <w:r>
                    <w:rPr>
                      <w:rFonts w:hint="eastAsia" w:ascii="楷体" w:hAnsi="楷体" w:eastAsia="楷体"/>
                    </w:rPr>
                    <w:t>2、固体废弃物排放管理规定加强固体废弃物管理。</w:t>
                  </w:r>
                </w:p>
                <w:p>
                  <w:pPr>
                    <w:spacing w:line="240" w:lineRule="exact"/>
                    <w:rPr>
                      <w:rFonts w:ascii="楷体" w:hAnsi="楷体" w:eastAsia="楷体"/>
                    </w:rPr>
                  </w:pPr>
                  <w:r>
                    <w:rPr>
                      <w:rFonts w:hint="eastAsia" w:ascii="楷体" w:hAnsi="楷体" w:eastAsia="楷体"/>
                    </w:rPr>
                    <w:t>3、危险固体废弃物实现分类管理：</w:t>
                  </w:r>
                </w:p>
                <w:p>
                  <w:pPr>
                    <w:spacing w:line="240" w:lineRule="exact"/>
                    <w:rPr>
                      <w:rFonts w:ascii="楷体" w:hAnsi="楷体" w:eastAsia="楷体"/>
                    </w:rPr>
                  </w:pPr>
                  <w:r>
                    <w:rPr>
                      <w:rFonts w:hint="eastAsia" w:ascii="楷体" w:hAnsi="楷体" w:eastAsia="楷体"/>
                    </w:rPr>
                    <w:t>（1）建立一般固体废弃物的分类标准及管理规定；</w:t>
                  </w:r>
                </w:p>
                <w:p>
                  <w:pPr>
                    <w:spacing w:line="240" w:lineRule="exact"/>
                    <w:rPr>
                      <w:rFonts w:ascii="楷体" w:hAnsi="楷体" w:eastAsia="楷体"/>
                    </w:rPr>
                  </w:pPr>
                  <w:r>
                    <w:rPr>
                      <w:rFonts w:hint="eastAsia" w:ascii="楷体" w:hAnsi="楷体" w:eastAsia="楷体"/>
                    </w:rPr>
                    <w:t>（2）不可回收利用的、应及应分类推放、明确标识、到达一定数量后送环卫部门处置或按其指定的方法进行处置；</w:t>
                  </w:r>
                </w:p>
                <w:p>
                  <w:pPr>
                    <w:spacing w:line="240" w:lineRule="exact"/>
                    <w:rPr>
                      <w:rFonts w:ascii="楷体" w:hAnsi="楷体" w:eastAsia="楷体"/>
                    </w:rPr>
                  </w:pPr>
                  <w:r>
                    <w:rPr>
                      <w:rFonts w:hint="eastAsia" w:ascii="楷体" w:hAnsi="楷体" w:eastAsia="楷体"/>
                    </w:rPr>
                    <w:t>4、预计费用1万元。</w:t>
                  </w:r>
                </w:p>
              </w:tc>
              <w:tc>
                <w:tcPr>
                  <w:tcW w:w="1117" w:type="dxa"/>
                </w:tcPr>
                <w:p>
                  <w:pPr>
                    <w:spacing w:line="240" w:lineRule="exact"/>
                    <w:rPr>
                      <w:rFonts w:ascii="楷体" w:hAnsi="楷体" w:eastAsia="楷体"/>
                    </w:rPr>
                  </w:pPr>
                  <w:r>
                    <w:rPr>
                      <w:rFonts w:hint="eastAsia" w:ascii="楷体" w:hAnsi="楷体" w:eastAsia="楷体"/>
                    </w:rPr>
                    <w:t>2019.1-2020.12</w:t>
                  </w:r>
                </w:p>
              </w:tc>
              <w:tc>
                <w:tcPr>
                  <w:tcW w:w="899" w:type="dxa"/>
                </w:tcPr>
                <w:p>
                  <w:pPr>
                    <w:spacing w:line="240" w:lineRule="exact"/>
                    <w:rPr>
                      <w:rFonts w:ascii="楷体" w:hAnsi="楷体" w:eastAsia="楷体"/>
                    </w:rPr>
                  </w:pPr>
                  <w:r>
                    <w:rPr>
                      <w:rFonts w:hint="eastAsia" w:ascii="楷体" w:hAnsi="楷体" w:eastAsia="楷体"/>
                    </w:rPr>
                    <w:t>生产部</w:t>
                  </w:r>
                </w:p>
                <w:p>
                  <w:pPr>
                    <w:spacing w:line="240" w:lineRule="exact"/>
                    <w:rPr>
                      <w:rFonts w:ascii="楷体" w:hAnsi="楷体" w:eastAsia="楷体"/>
                    </w:rPr>
                  </w:pPr>
                  <w:r>
                    <w:rPr>
                      <w:rFonts w:hint="eastAsia" w:ascii="楷体" w:hAnsi="楷体" w:eastAsia="楷体"/>
                    </w:rPr>
                    <w:t>各部门</w:t>
                  </w:r>
                </w:p>
                <w:p>
                  <w:pPr>
                    <w:spacing w:line="240" w:lineRule="exact"/>
                    <w:rPr>
                      <w:rFonts w:ascii="楷体" w:hAnsi="楷体" w:eastAsia="楷体"/>
                    </w:rPr>
                  </w:pPr>
                </w:p>
                <w:p>
                  <w:pPr>
                    <w:spacing w:line="240" w:lineRule="exact"/>
                    <w:rPr>
                      <w:rFonts w:ascii="楷体" w:hAnsi="楷体" w:eastAsia="楷体"/>
                    </w:rPr>
                  </w:pPr>
                </w:p>
              </w:tc>
              <w:tc>
                <w:tcPr>
                  <w:tcW w:w="684" w:type="dxa"/>
                </w:tcPr>
                <w:p>
                  <w:pPr>
                    <w:spacing w:line="240" w:lineRule="exact"/>
                    <w:rPr>
                      <w:rFonts w:ascii="楷体" w:hAnsi="楷体" w:eastAsia="楷体"/>
                    </w:rPr>
                  </w:pPr>
                  <w:r>
                    <w:rPr>
                      <w:rFonts w:hint="eastAsia" w:ascii="楷体" w:hAnsi="楷体" w:eastAsia="楷体"/>
                    </w:rPr>
                    <w:t>杨科</w:t>
                  </w:r>
                </w:p>
                <w:p>
                  <w:pPr>
                    <w:spacing w:line="240" w:lineRule="exact"/>
                    <w:rPr>
                      <w:rFonts w:ascii="楷体" w:hAnsi="楷体" w:eastAsia="楷体"/>
                    </w:rPr>
                  </w:pPr>
                  <w:r>
                    <w:rPr>
                      <w:rFonts w:hint="eastAsia" w:ascii="楷体" w:hAnsi="楷体" w:eastAsia="楷体"/>
                    </w:rPr>
                    <w:t>顾克彪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0" w:hRule="atLeast"/>
              </w:trPr>
              <w:tc>
                <w:tcPr>
                  <w:tcW w:w="1027" w:type="dxa"/>
                </w:tcPr>
                <w:p>
                  <w:pPr>
                    <w:spacing w:line="240" w:lineRule="exact"/>
                    <w:rPr>
                      <w:rFonts w:ascii="楷体" w:hAnsi="楷体" w:eastAsia="楷体"/>
                    </w:rPr>
                  </w:pPr>
                  <w:r>
                    <w:rPr>
                      <w:rFonts w:hint="eastAsia" w:ascii="楷体" w:hAnsi="楷体" w:eastAsia="楷体"/>
                    </w:rPr>
                    <w:t>2、噪声达标排放</w:t>
                  </w:r>
                </w:p>
              </w:tc>
              <w:tc>
                <w:tcPr>
                  <w:tcW w:w="1304" w:type="dxa"/>
                </w:tcPr>
                <w:p>
                  <w:pPr>
                    <w:spacing w:line="240" w:lineRule="exact"/>
                    <w:rPr>
                      <w:rFonts w:ascii="楷体" w:hAnsi="楷体" w:eastAsia="楷体"/>
                    </w:rPr>
                  </w:pPr>
                  <w:r>
                    <w:rPr>
                      <w:rFonts w:hint="eastAsia" w:ascii="楷体" w:hAnsi="楷体" w:eastAsia="楷体"/>
                    </w:rPr>
                    <w:t>厂界噪声昼间低于6</w:t>
                  </w:r>
                  <w:r>
                    <w:rPr>
                      <w:rFonts w:ascii="楷体" w:hAnsi="楷体" w:eastAsia="楷体"/>
                    </w:rPr>
                    <w:t>5</w:t>
                  </w:r>
                  <w:r>
                    <w:rPr>
                      <w:rFonts w:hint="eastAsia" w:ascii="楷体" w:hAnsi="楷体" w:eastAsia="楷体"/>
                    </w:rPr>
                    <w:t>dB(A)，夜间低于</w:t>
                  </w:r>
                  <w:r>
                    <w:rPr>
                      <w:rFonts w:ascii="楷体" w:hAnsi="楷体" w:eastAsia="楷体"/>
                    </w:rPr>
                    <w:t>55</w:t>
                  </w:r>
                  <w:r>
                    <w:rPr>
                      <w:rFonts w:hint="eastAsia" w:ascii="楷体" w:hAnsi="楷体" w:eastAsia="楷体"/>
                    </w:rPr>
                    <w:t>dB(A)</w:t>
                  </w:r>
                </w:p>
                <w:p>
                  <w:pPr>
                    <w:spacing w:line="240" w:lineRule="exact"/>
                    <w:rPr>
                      <w:rFonts w:ascii="楷体" w:hAnsi="楷体" w:eastAsia="楷体"/>
                    </w:rPr>
                  </w:pPr>
                  <w:r>
                    <w:rPr>
                      <w:rFonts w:hint="eastAsia" w:ascii="楷体" w:hAnsi="楷体" w:eastAsia="楷体"/>
                    </w:rPr>
                    <w:t>2、场内噪声级防护符合要求。</w:t>
                  </w:r>
                </w:p>
              </w:tc>
              <w:tc>
                <w:tcPr>
                  <w:tcW w:w="4299" w:type="dxa"/>
                </w:tcPr>
                <w:p>
                  <w:pPr>
                    <w:spacing w:line="240" w:lineRule="exact"/>
                    <w:rPr>
                      <w:rFonts w:ascii="楷体" w:hAnsi="楷体" w:eastAsia="楷体"/>
                    </w:rPr>
                  </w:pPr>
                  <w:r>
                    <w:rPr>
                      <w:rFonts w:hint="eastAsia" w:ascii="楷体" w:hAnsi="楷体" w:eastAsia="楷体"/>
                    </w:rPr>
                    <w:t>1、对生产设备、设施进行定期保养；生产设备运行中尽量关闭门窗。</w:t>
                  </w:r>
                </w:p>
                <w:p>
                  <w:pPr>
                    <w:spacing w:line="240" w:lineRule="exact"/>
                    <w:rPr>
                      <w:rFonts w:ascii="楷体" w:hAnsi="楷体" w:eastAsia="楷体"/>
                    </w:rPr>
                  </w:pPr>
                  <w:r>
                    <w:rPr>
                      <w:rFonts w:hint="eastAsia" w:ascii="楷体" w:hAnsi="楷体" w:eastAsia="楷体"/>
                    </w:rPr>
                    <w:t>2、 采用吸声罩、减震垫、隔声门窗等消声、降噪措施，定期加强对设备操作的检查合格。</w:t>
                  </w:r>
                </w:p>
                <w:p>
                  <w:pPr>
                    <w:spacing w:line="240" w:lineRule="exact"/>
                    <w:rPr>
                      <w:rFonts w:ascii="楷体" w:hAnsi="楷体" w:eastAsia="楷体"/>
                    </w:rPr>
                  </w:pPr>
                  <w:r>
                    <w:rPr>
                      <w:rFonts w:hint="eastAsia" w:ascii="楷体" w:hAnsi="楷体" w:eastAsia="楷体"/>
                    </w:rPr>
                    <w:t>3、 每年定期委托环保局检测达噪音检测达标。</w:t>
                  </w:r>
                </w:p>
                <w:p>
                  <w:pPr>
                    <w:spacing w:line="240" w:lineRule="exact"/>
                    <w:rPr>
                      <w:rFonts w:ascii="楷体" w:hAnsi="楷体" w:eastAsia="楷体"/>
                    </w:rPr>
                  </w:pPr>
                  <w:r>
                    <w:rPr>
                      <w:rFonts w:hint="eastAsia" w:ascii="楷体" w:hAnsi="楷体" w:eastAsia="楷体"/>
                    </w:rPr>
                    <w:t xml:space="preserve"> 4）预计费用5千元。</w:t>
                  </w:r>
                </w:p>
              </w:tc>
              <w:tc>
                <w:tcPr>
                  <w:tcW w:w="1117" w:type="dxa"/>
                </w:tcPr>
                <w:p>
                  <w:pPr>
                    <w:spacing w:line="240" w:lineRule="exact"/>
                    <w:rPr>
                      <w:rFonts w:ascii="楷体" w:hAnsi="楷体" w:eastAsia="楷体"/>
                    </w:rPr>
                  </w:pPr>
                  <w:r>
                    <w:rPr>
                      <w:rFonts w:hint="eastAsia" w:ascii="楷体" w:hAnsi="楷体" w:eastAsia="楷体"/>
                    </w:rPr>
                    <w:t>2019.1-2020.12</w:t>
                  </w:r>
                </w:p>
                <w:p>
                  <w:pPr>
                    <w:spacing w:line="240" w:lineRule="exact"/>
                    <w:rPr>
                      <w:rFonts w:ascii="楷体" w:hAnsi="楷体" w:eastAsia="楷体"/>
                    </w:rPr>
                  </w:pPr>
                </w:p>
              </w:tc>
              <w:tc>
                <w:tcPr>
                  <w:tcW w:w="899" w:type="dxa"/>
                </w:tcPr>
                <w:p>
                  <w:pPr>
                    <w:spacing w:line="240" w:lineRule="exact"/>
                    <w:rPr>
                      <w:rFonts w:ascii="楷体" w:hAnsi="楷体" w:eastAsia="楷体"/>
                    </w:rPr>
                  </w:pPr>
                  <w:r>
                    <w:rPr>
                      <w:rFonts w:hint="eastAsia" w:ascii="楷体" w:hAnsi="楷体" w:eastAsia="楷体"/>
                    </w:rPr>
                    <w:t>生产部</w:t>
                  </w:r>
                </w:p>
                <w:p>
                  <w:pPr>
                    <w:spacing w:line="240" w:lineRule="exact"/>
                    <w:rPr>
                      <w:rFonts w:ascii="楷体" w:hAnsi="楷体" w:eastAsia="楷体"/>
                    </w:rPr>
                  </w:pPr>
                </w:p>
                <w:p>
                  <w:pPr>
                    <w:spacing w:line="240" w:lineRule="exact"/>
                    <w:rPr>
                      <w:rFonts w:ascii="楷体" w:hAnsi="楷体" w:eastAsia="楷体"/>
                    </w:rPr>
                  </w:pPr>
                </w:p>
                <w:p>
                  <w:pPr>
                    <w:spacing w:line="240" w:lineRule="exact"/>
                    <w:rPr>
                      <w:rFonts w:ascii="楷体" w:hAnsi="楷体" w:eastAsia="楷体"/>
                    </w:rPr>
                  </w:pPr>
                </w:p>
                <w:p>
                  <w:pPr>
                    <w:spacing w:line="240" w:lineRule="exact"/>
                    <w:rPr>
                      <w:rFonts w:ascii="楷体" w:hAnsi="楷体" w:eastAsia="楷体"/>
                    </w:rPr>
                  </w:pPr>
                </w:p>
              </w:tc>
              <w:tc>
                <w:tcPr>
                  <w:tcW w:w="684" w:type="dxa"/>
                </w:tcPr>
                <w:p>
                  <w:pPr>
                    <w:spacing w:line="240" w:lineRule="exact"/>
                    <w:rPr>
                      <w:rFonts w:ascii="楷体" w:hAnsi="楷体" w:eastAsia="楷体"/>
                    </w:rPr>
                  </w:pPr>
                  <w:r>
                    <w:rPr>
                      <w:rFonts w:hint="eastAsia" w:ascii="楷体" w:hAnsi="楷体" w:eastAsia="楷体"/>
                    </w:rPr>
                    <w:t>杨科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1027" w:type="dxa"/>
                </w:tcPr>
                <w:p>
                  <w:pPr>
                    <w:spacing w:line="240" w:lineRule="exact"/>
                    <w:rPr>
                      <w:rFonts w:ascii="楷体" w:hAnsi="楷体" w:eastAsia="楷体"/>
                    </w:rPr>
                  </w:pPr>
                  <w:r>
                    <w:rPr>
                      <w:rFonts w:hint="eastAsia" w:ascii="楷体" w:hAnsi="楷体" w:eastAsia="楷体"/>
                    </w:rPr>
                    <w:t>3、废气（粉尘）达标排放</w:t>
                  </w:r>
                </w:p>
              </w:tc>
              <w:tc>
                <w:tcPr>
                  <w:tcW w:w="1304" w:type="dxa"/>
                </w:tcPr>
                <w:p>
                  <w:pPr>
                    <w:spacing w:line="240" w:lineRule="exact"/>
                    <w:rPr>
                      <w:rFonts w:ascii="楷体" w:hAnsi="楷体" w:eastAsia="楷体"/>
                    </w:rPr>
                  </w:pPr>
                  <w:r>
                    <w:rPr>
                      <w:rFonts w:hint="eastAsia" w:ascii="楷体" w:hAnsi="楷体" w:eastAsia="楷体"/>
                    </w:rPr>
                    <w:t>大气污染综合排放标准G</w:t>
                  </w:r>
                  <w:r>
                    <w:rPr>
                      <w:rFonts w:ascii="楷体" w:hAnsi="楷体" w:eastAsia="楷体"/>
                    </w:rPr>
                    <w:t>B16297</w:t>
                  </w:r>
                  <w:r>
                    <w:rPr>
                      <w:rFonts w:hint="eastAsia" w:ascii="楷体" w:hAnsi="楷体" w:eastAsia="楷体"/>
                    </w:rPr>
                    <w:t>－1</w:t>
                  </w:r>
                  <w:r>
                    <w:rPr>
                      <w:rFonts w:ascii="楷体" w:hAnsi="楷体" w:eastAsia="楷体"/>
                    </w:rPr>
                    <w:t>996</w:t>
                  </w:r>
                  <w:r>
                    <w:rPr>
                      <w:rFonts w:hint="eastAsia" w:ascii="楷体" w:hAnsi="楷体" w:eastAsia="楷体"/>
                    </w:rPr>
                    <w:t>表2中新污染源大气污染物无组织排放监控浓度限值要求</w:t>
                  </w:r>
                </w:p>
              </w:tc>
              <w:tc>
                <w:tcPr>
                  <w:tcW w:w="4299" w:type="dxa"/>
                </w:tcPr>
                <w:p>
                  <w:pPr>
                    <w:spacing w:line="240" w:lineRule="exact"/>
                    <w:rPr>
                      <w:rFonts w:ascii="楷体" w:hAnsi="楷体" w:eastAsia="楷体"/>
                    </w:rPr>
                  </w:pPr>
                  <w:r>
                    <w:rPr>
                      <w:rFonts w:hint="eastAsia" w:ascii="楷体" w:hAnsi="楷体" w:eastAsia="楷体"/>
                    </w:rPr>
                    <w:t>1、对生产设备、设施进行定期保养；检修，确保设备在正常情况下操作运行。</w:t>
                  </w:r>
                </w:p>
                <w:p>
                  <w:pPr>
                    <w:spacing w:line="240" w:lineRule="exact"/>
                    <w:rPr>
                      <w:rFonts w:ascii="楷体" w:hAnsi="楷体" w:eastAsia="楷体"/>
                    </w:rPr>
                  </w:pPr>
                  <w:r>
                    <w:rPr>
                      <w:rFonts w:hint="eastAsia" w:ascii="楷体" w:hAnsi="楷体" w:eastAsia="楷体"/>
                    </w:rPr>
                    <w:t>2、 工作人员佩戴口罩；定期针对操作人员体检合格</w:t>
                  </w:r>
                </w:p>
                <w:p>
                  <w:pPr>
                    <w:spacing w:line="240" w:lineRule="exact"/>
                    <w:rPr>
                      <w:rFonts w:ascii="楷体" w:hAnsi="楷体" w:eastAsia="楷体"/>
                    </w:rPr>
                  </w:pPr>
                  <w:r>
                    <w:rPr>
                      <w:rFonts w:hint="eastAsia" w:ascii="楷体" w:hAnsi="楷体" w:eastAsia="楷体"/>
                    </w:rPr>
                    <w:t>3、不断更新生产工艺，尽量减少废气（粉尘）排放，每年定期委托环保局检测废气（粉尘）结果符合国家标准达标排放。</w:t>
                  </w:r>
                </w:p>
                <w:p>
                  <w:pPr>
                    <w:spacing w:line="240" w:lineRule="exact"/>
                    <w:rPr>
                      <w:rFonts w:ascii="楷体" w:hAnsi="楷体" w:eastAsia="楷体"/>
                    </w:rPr>
                  </w:pPr>
                  <w:r>
                    <w:rPr>
                      <w:rFonts w:hint="eastAsia" w:ascii="楷体" w:hAnsi="楷体" w:eastAsia="楷体"/>
                    </w:rPr>
                    <w:t>4、预计费用5千元。</w:t>
                  </w:r>
                </w:p>
              </w:tc>
              <w:tc>
                <w:tcPr>
                  <w:tcW w:w="1117" w:type="dxa"/>
                </w:tcPr>
                <w:p>
                  <w:pPr>
                    <w:spacing w:line="240" w:lineRule="exact"/>
                    <w:rPr>
                      <w:rFonts w:ascii="楷体" w:hAnsi="楷体" w:eastAsia="楷体"/>
                    </w:rPr>
                  </w:pPr>
                  <w:r>
                    <w:rPr>
                      <w:rFonts w:hint="eastAsia" w:ascii="楷体" w:hAnsi="楷体" w:eastAsia="楷体"/>
                    </w:rPr>
                    <w:t>2019.1-2020.12</w:t>
                  </w:r>
                </w:p>
                <w:p>
                  <w:pPr>
                    <w:spacing w:line="240" w:lineRule="exact"/>
                    <w:rPr>
                      <w:rFonts w:ascii="楷体" w:hAnsi="楷体" w:eastAsia="楷体"/>
                    </w:rPr>
                  </w:pPr>
                </w:p>
              </w:tc>
              <w:tc>
                <w:tcPr>
                  <w:tcW w:w="899" w:type="dxa"/>
                </w:tcPr>
                <w:p>
                  <w:pPr>
                    <w:spacing w:line="240" w:lineRule="exact"/>
                    <w:rPr>
                      <w:rFonts w:ascii="楷体" w:hAnsi="楷体" w:eastAsia="楷体"/>
                    </w:rPr>
                  </w:pPr>
                  <w:r>
                    <w:rPr>
                      <w:rFonts w:hint="eastAsia" w:ascii="楷体" w:hAnsi="楷体" w:eastAsia="楷体"/>
                    </w:rPr>
                    <w:t>生产部</w:t>
                  </w:r>
                </w:p>
                <w:p>
                  <w:pPr>
                    <w:spacing w:line="240" w:lineRule="exact"/>
                    <w:rPr>
                      <w:rFonts w:ascii="楷体" w:hAnsi="楷体" w:eastAsia="楷体"/>
                    </w:rPr>
                  </w:pPr>
                </w:p>
                <w:p>
                  <w:pPr>
                    <w:spacing w:line="240" w:lineRule="exact"/>
                    <w:rPr>
                      <w:rFonts w:ascii="楷体" w:hAnsi="楷体" w:eastAsia="楷体"/>
                    </w:rPr>
                  </w:pPr>
                </w:p>
                <w:p>
                  <w:pPr>
                    <w:spacing w:line="240" w:lineRule="exact"/>
                    <w:rPr>
                      <w:rFonts w:ascii="楷体" w:hAnsi="楷体" w:eastAsia="楷体"/>
                    </w:rPr>
                  </w:pPr>
                </w:p>
                <w:p>
                  <w:pPr>
                    <w:spacing w:line="240" w:lineRule="exact"/>
                    <w:rPr>
                      <w:rFonts w:ascii="楷体" w:hAnsi="楷体" w:eastAsia="楷体"/>
                    </w:rPr>
                  </w:pPr>
                </w:p>
              </w:tc>
              <w:tc>
                <w:tcPr>
                  <w:tcW w:w="684" w:type="dxa"/>
                </w:tcPr>
                <w:p>
                  <w:pPr>
                    <w:spacing w:line="240" w:lineRule="exact"/>
                    <w:rPr>
                      <w:rFonts w:ascii="楷体" w:hAnsi="楷体" w:eastAsia="楷体"/>
                    </w:rPr>
                  </w:pPr>
                  <w:r>
                    <w:rPr>
                      <w:rFonts w:hint="eastAsia" w:ascii="楷体" w:hAnsi="楷体" w:eastAsia="楷体"/>
                    </w:rPr>
                    <w:t>杨科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8" w:hRule="atLeast"/>
              </w:trPr>
              <w:tc>
                <w:tcPr>
                  <w:tcW w:w="1027" w:type="dxa"/>
                </w:tcPr>
                <w:p>
                  <w:pPr>
                    <w:spacing w:line="240" w:lineRule="exact"/>
                    <w:rPr>
                      <w:rFonts w:ascii="楷体" w:hAnsi="楷体" w:eastAsia="楷体"/>
                    </w:rPr>
                  </w:pPr>
                  <w:r>
                    <w:rPr>
                      <w:rFonts w:hint="eastAsia" w:ascii="楷体" w:hAnsi="楷体" w:eastAsia="楷体"/>
                    </w:rPr>
                    <w:t>4、火灾</w:t>
                  </w:r>
                </w:p>
              </w:tc>
              <w:tc>
                <w:tcPr>
                  <w:tcW w:w="1304" w:type="dxa"/>
                </w:tcPr>
                <w:p>
                  <w:pPr>
                    <w:spacing w:line="240" w:lineRule="exact"/>
                    <w:rPr>
                      <w:rFonts w:ascii="楷体" w:hAnsi="楷体" w:eastAsia="楷体"/>
                    </w:rPr>
                  </w:pPr>
                  <w:r>
                    <w:rPr>
                      <w:rFonts w:hint="eastAsia" w:ascii="楷体" w:hAnsi="楷体" w:eastAsia="楷体"/>
                    </w:rPr>
                    <w:t>火灾事故为0</w:t>
                  </w:r>
                </w:p>
              </w:tc>
              <w:tc>
                <w:tcPr>
                  <w:tcW w:w="4299" w:type="dxa"/>
                </w:tcPr>
                <w:p>
                  <w:pPr>
                    <w:spacing w:line="240" w:lineRule="exact"/>
                    <w:rPr>
                      <w:rFonts w:ascii="楷体" w:hAnsi="楷体" w:eastAsia="楷体"/>
                    </w:rPr>
                  </w:pPr>
                  <w:r>
                    <w:rPr>
                      <w:rFonts w:hint="eastAsia" w:ascii="楷体" w:hAnsi="楷体" w:eastAsia="楷体"/>
                    </w:rPr>
                    <w:t>1、制定火灾应急预案，并进行演练；</w:t>
                  </w:r>
                </w:p>
                <w:p>
                  <w:pPr>
                    <w:spacing w:line="240" w:lineRule="exact"/>
                    <w:rPr>
                      <w:rFonts w:ascii="楷体" w:hAnsi="楷体" w:eastAsia="楷体"/>
                    </w:rPr>
                  </w:pPr>
                  <w:r>
                    <w:rPr>
                      <w:rFonts w:hint="eastAsia" w:ascii="楷体" w:hAnsi="楷体" w:eastAsia="楷体"/>
                    </w:rPr>
                    <w:t>2、按照年度培训计划对管理人员和操作人员进行火灾消防应急演习培训，提高人员安全防火应急措施知识；</w:t>
                  </w:r>
                </w:p>
                <w:p>
                  <w:pPr>
                    <w:spacing w:line="240" w:lineRule="exact"/>
                    <w:rPr>
                      <w:rFonts w:ascii="楷体" w:hAnsi="楷体" w:eastAsia="楷体"/>
                    </w:rPr>
                  </w:pPr>
                  <w:r>
                    <w:rPr>
                      <w:rFonts w:hint="eastAsia" w:ascii="楷体" w:hAnsi="楷体" w:eastAsia="楷体"/>
                    </w:rPr>
                    <w:t>3、公司各部门配备灭火器并悬挂履历卡；每一个月检查一次配备的灭火器，对不合格的及时更换确保发生火灾事故时能有效控制；</w:t>
                  </w:r>
                </w:p>
                <w:p>
                  <w:pPr>
                    <w:spacing w:line="240" w:lineRule="exact"/>
                    <w:rPr>
                      <w:rFonts w:ascii="楷体" w:hAnsi="楷体" w:eastAsia="楷体"/>
                    </w:rPr>
                  </w:pPr>
                  <w:r>
                    <w:rPr>
                      <w:rFonts w:hint="eastAsia" w:ascii="楷体" w:hAnsi="楷体" w:eastAsia="楷体"/>
                    </w:rPr>
                    <w:t>4、预计费用5千元</w:t>
                  </w:r>
                </w:p>
              </w:tc>
              <w:tc>
                <w:tcPr>
                  <w:tcW w:w="1117" w:type="dxa"/>
                </w:tcPr>
                <w:p>
                  <w:pPr>
                    <w:spacing w:line="240" w:lineRule="exact"/>
                    <w:rPr>
                      <w:rFonts w:ascii="楷体" w:hAnsi="楷体" w:eastAsia="楷体"/>
                    </w:rPr>
                  </w:pPr>
                  <w:r>
                    <w:rPr>
                      <w:rFonts w:hint="eastAsia" w:ascii="楷体" w:hAnsi="楷体" w:eastAsia="楷体"/>
                    </w:rPr>
                    <w:t>2019.1-2020.12</w:t>
                  </w:r>
                </w:p>
              </w:tc>
              <w:tc>
                <w:tcPr>
                  <w:tcW w:w="899" w:type="dxa"/>
                </w:tcPr>
                <w:p>
                  <w:pPr>
                    <w:spacing w:line="240" w:lineRule="exact"/>
                    <w:rPr>
                      <w:rFonts w:ascii="楷体" w:hAnsi="楷体" w:eastAsia="楷体"/>
                    </w:rPr>
                  </w:pPr>
                  <w:r>
                    <w:rPr>
                      <w:rFonts w:hint="eastAsia" w:ascii="楷体" w:hAnsi="楷体" w:eastAsia="楷体"/>
                    </w:rPr>
                    <w:t>生产部</w:t>
                  </w:r>
                </w:p>
                <w:p>
                  <w:pPr>
                    <w:spacing w:line="240" w:lineRule="exact"/>
                    <w:rPr>
                      <w:rFonts w:ascii="楷体" w:hAnsi="楷体" w:eastAsia="楷体"/>
                    </w:rPr>
                  </w:pPr>
                  <w:r>
                    <w:rPr>
                      <w:rFonts w:hint="eastAsia" w:ascii="楷体" w:hAnsi="楷体" w:eastAsia="楷体"/>
                    </w:rPr>
                    <w:t>各部门</w:t>
                  </w:r>
                </w:p>
                <w:p>
                  <w:pPr>
                    <w:spacing w:line="240" w:lineRule="exact"/>
                    <w:rPr>
                      <w:rFonts w:ascii="楷体" w:hAnsi="楷体" w:eastAsia="楷体"/>
                    </w:rPr>
                  </w:pPr>
                </w:p>
              </w:tc>
              <w:tc>
                <w:tcPr>
                  <w:tcW w:w="684" w:type="dxa"/>
                </w:tcPr>
                <w:p>
                  <w:pPr>
                    <w:spacing w:line="240" w:lineRule="exact"/>
                    <w:rPr>
                      <w:rFonts w:ascii="楷体" w:hAnsi="楷体" w:eastAsia="楷体"/>
                    </w:rPr>
                  </w:pPr>
                  <w:r>
                    <w:rPr>
                      <w:rFonts w:hint="eastAsia" w:ascii="楷体" w:hAnsi="楷体" w:eastAsia="楷体"/>
                    </w:rPr>
                    <w:t>杨科</w:t>
                  </w:r>
                </w:p>
                <w:p>
                  <w:pPr>
                    <w:spacing w:line="240" w:lineRule="exact"/>
                    <w:rPr>
                      <w:rFonts w:ascii="楷体" w:hAnsi="楷体" w:eastAsia="楷体"/>
                    </w:rPr>
                  </w:pPr>
                  <w:r>
                    <w:rPr>
                      <w:rFonts w:hint="eastAsia" w:ascii="楷体" w:hAnsi="楷体" w:eastAsia="楷体"/>
                    </w:rPr>
                    <w:t>顾克彪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1027" w:type="dxa"/>
                </w:tcPr>
                <w:p>
                  <w:pPr>
                    <w:spacing w:line="240" w:lineRule="exact"/>
                    <w:rPr>
                      <w:rFonts w:ascii="楷体" w:hAnsi="楷体" w:eastAsia="楷体"/>
                    </w:rPr>
                  </w:pPr>
                  <w:r>
                    <w:rPr>
                      <w:rFonts w:hint="eastAsia" w:ascii="楷体" w:hAnsi="楷体" w:eastAsia="楷体"/>
                    </w:rPr>
                    <w:t>5、触电</w:t>
                  </w:r>
                </w:p>
              </w:tc>
              <w:tc>
                <w:tcPr>
                  <w:tcW w:w="1304" w:type="dxa"/>
                </w:tcPr>
                <w:p>
                  <w:pPr>
                    <w:spacing w:line="240" w:lineRule="exact"/>
                    <w:rPr>
                      <w:rFonts w:ascii="楷体" w:hAnsi="楷体" w:eastAsia="楷体"/>
                    </w:rPr>
                  </w:pPr>
                  <w:r>
                    <w:rPr>
                      <w:rFonts w:hint="eastAsia" w:ascii="楷体" w:hAnsi="楷体" w:eastAsia="楷体"/>
                    </w:rPr>
                    <w:t>触电事故为0</w:t>
                  </w:r>
                </w:p>
              </w:tc>
              <w:tc>
                <w:tcPr>
                  <w:tcW w:w="4299" w:type="dxa"/>
                </w:tcPr>
                <w:p>
                  <w:pPr>
                    <w:spacing w:line="240" w:lineRule="exact"/>
                    <w:rPr>
                      <w:rFonts w:ascii="楷体" w:hAnsi="楷体" w:eastAsia="楷体"/>
                    </w:rPr>
                  </w:pPr>
                  <w:r>
                    <w:rPr>
                      <w:rFonts w:hint="eastAsia" w:ascii="楷体" w:hAnsi="楷体" w:eastAsia="楷体"/>
                    </w:rPr>
                    <w:t>1、认真贯彻执行《施工现场临时用电安全技术规范》（JGJ46-05）</w:t>
                  </w:r>
                </w:p>
                <w:p>
                  <w:pPr>
                    <w:spacing w:line="240" w:lineRule="exact"/>
                    <w:rPr>
                      <w:rFonts w:ascii="楷体" w:hAnsi="楷体" w:eastAsia="楷体"/>
                    </w:rPr>
                  </w:pPr>
                  <w:r>
                    <w:rPr>
                      <w:rFonts w:hint="eastAsia" w:ascii="楷体" w:hAnsi="楷体" w:eastAsia="楷体"/>
                    </w:rPr>
                    <w:t>2、电工属特种作业人员，应遵守《特种人员安全技术考核管理规则》（GB5306-85）中的各项规定。经培训合格、持证上岗。</w:t>
                  </w:r>
                </w:p>
                <w:p>
                  <w:pPr>
                    <w:spacing w:line="240" w:lineRule="exact"/>
                    <w:rPr>
                      <w:rFonts w:ascii="楷体" w:hAnsi="楷体" w:eastAsia="楷体"/>
                    </w:rPr>
                  </w:pPr>
                  <w:r>
                    <w:rPr>
                      <w:rFonts w:hint="eastAsia" w:ascii="楷体" w:hAnsi="楷体" w:eastAsia="楷体"/>
                    </w:rPr>
                    <w:t>3、加强带电设备的防护和检查，采用保护接地和保护接零并安装漏电保护器等。</w:t>
                  </w:r>
                </w:p>
                <w:p>
                  <w:pPr>
                    <w:spacing w:line="240" w:lineRule="exact"/>
                    <w:rPr>
                      <w:rFonts w:ascii="楷体" w:hAnsi="楷体" w:eastAsia="楷体"/>
                    </w:rPr>
                  </w:pPr>
                  <w:r>
                    <w:rPr>
                      <w:rFonts w:hint="eastAsia" w:ascii="楷体" w:hAnsi="楷体" w:eastAsia="楷体"/>
                    </w:rPr>
                    <w:t>4、检修作业保护应采用（文字、数字、符号、色彩）的警告牌警告其它人员正在检修，并穿戴好自已的绝缘鞋、手套等防护用品。</w:t>
                  </w:r>
                </w:p>
                <w:p>
                  <w:pPr>
                    <w:spacing w:line="240" w:lineRule="exact"/>
                    <w:rPr>
                      <w:rFonts w:ascii="楷体" w:hAnsi="楷体" w:eastAsia="楷体"/>
                    </w:rPr>
                  </w:pPr>
                  <w:r>
                    <w:rPr>
                      <w:rFonts w:hint="eastAsia" w:ascii="楷体" w:hAnsi="楷体" w:eastAsia="楷体"/>
                    </w:rPr>
                    <w:t>5、临时用电应有可靠的接地或防零措施。</w:t>
                  </w:r>
                </w:p>
                <w:p>
                  <w:pPr>
                    <w:spacing w:line="240" w:lineRule="exact"/>
                    <w:rPr>
                      <w:rFonts w:ascii="楷体" w:hAnsi="楷体" w:eastAsia="楷体"/>
                    </w:rPr>
                  </w:pPr>
                  <w:r>
                    <w:rPr>
                      <w:rFonts w:hint="eastAsia" w:ascii="楷体" w:hAnsi="楷体" w:eastAsia="楷体"/>
                    </w:rPr>
                    <w:t>6、预计费用5千元</w:t>
                  </w:r>
                </w:p>
              </w:tc>
              <w:tc>
                <w:tcPr>
                  <w:tcW w:w="1117" w:type="dxa"/>
                </w:tcPr>
                <w:p>
                  <w:pPr>
                    <w:spacing w:line="240" w:lineRule="exact"/>
                    <w:rPr>
                      <w:rFonts w:ascii="楷体" w:hAnsi="楷体" w:eastAsia="楷体"/>
                    </w:rPr>
                  </w:pPr>
                  <w:r>
                    <w:rPr>
                      <w:rFonts w:hint="eastAsia" w:ascii="楷体" w:hAnsi="楷体" w:eastAsia="楷体"/>
                    </w:rPr>
                    <w:t>2019.1-2020.12</w:t>
                  </w:r>
                </w:p>
              </w:tc>
              <w:tc>
                <w:tcPr>
                  <w:tcW w:w="899" w:type="dxa"/>
                </w:tcPr>
                <w:p>
                  <w:pPr>
                    <w:spacing w:line="240" w:lineRule="exact"/>
                    <w:rPr>
                      <w:rFonts w:ascii="楷体" w:hAnsi="楷体" w:eastAsia="楷体"/>
                    </w:rPr>
                  </w:pPr>
                  <w:r>
                    <w:rPr>
                      <w:rFonts w:hint="eastAsia" w:ascii="楷体" w:hAnsi="楷体" w:eastAsia="楷体"/>
                    </w:rPr>
                    <w:t>生产部</w:t>
                  </w:r>
                </w:p>
                <w:p>
                  <w:pPr>
                    <w:spacing w:line="240" w:lineRule="exact"/>
                    <w:rPr>
                      <w:rFonts w:ascii="楷体" w:hAnsi="楷体" w:eastAsia="楷体"/>
                    </w:rPr>
                  </w:pPr>
                  <w:r>
                    <w:rPr>
                      <w:rFonts w:hint="eastAsia" w:ascii="楷体" w:hAnsi="楷体" w:eastAsia="楷体"/>
                    </w:rPr>
                    <w:t>各部门</w:t>
                  </w:r>
                </w:p>
                <w:p>
                  <w:pPr>
                    <w:spacing w:line="240" w:lineRule="exact"/>
                    <w:rPr>
                      <w:rFonts w:ascii="楷体" w:hAnsi="楷体" w:eastAsia="楷体"/>
                    </w:rPr>
                  </w:pPr>
                </w:p>
              </w:tc>
              <w:tc>
                <w:tcPr>
                  <w:tcW w:w="684" w:type="dxa"/>
                </w:tcPr>
                <w:p>
                  <w:pPr>
                    <w:spacing w:line="240" w:lineRule="exact"/>
                    <w:rPr>
                      <w:rFonts w:ascii="楷体" w:hAnsi="楷体" w:eastAsia="楷体"/>
                    </w:rPr>
                  </w:pPr>
                  <w:r>
                    <w:rPr>
                      <w:rFonts w:hint="eastAsia" w:ascii="楷体" w:hAnsi="楷体" w:eastAsia="楷体"/>
                    </w:rPr>
                    <w:t>杨科</w:t>
                  </w:r>
                </w:p>
                <w:p>
                  <w:pPr>
                    <w:spacing w:line="240" w:lineRule="exact"/>
                    <w:rPr>
                      <w:rFonts w:ascii="楷体" w:hAnsi="楷体" w:eastAsia="楷体"/>
                    </w:rPr>
                  </w:pPr>
                  <w:r>
                    <w:rPr>
                      <w:rFonts w:hint="eastAsia" w:ascii="楷体" w:hAnsi="楷体" w:eastAsia="楷体"/>
                    </w:rPr>
                    <w:t>顾克彪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1027" w:type="dxa"/>
                </w:tcPr>
                <w:p>
                  <w:pPr>
                    <w:spacing w:line="240" w:lineRule="exact"/>
                    <w:rPr>
                      <w:rFonts w:ascii="楷体" w:hAnsi="楷体" w:eastAsia="楷体"/>
                    </w:rPr>
                  </w:pPr>
                  <w:r>
                    <w:rPr>
                      <w:rFonts w:hint="eastAsia" w:ascii="楷体" w:hAnsi="楷体" w:eastAsia="楷体"/>
                    </w:rPr>
                    <w:t>6、机械伤害、高温烫伤\</w:t>
                  </w:r>
                  <w:r>
                    <w:rPr>
                      <w:rFonts w:ascii="楷体" w:hAnsi="楷体" w:eastAsia="楷体"/>
                    </w:rPr>
                    <w:t>\</w:t>
                  </w:r>
                  <w:r>
                    <w:rPr>
                      <w:rFonts w:hint="eastAsia" w:ascii="楷体" w:hAnsi="楷体" w:eastAsia="楷体"/>
                    </w:rPr>
                    <w:t>起重伤害\高空堕落控制</w:t>
                  </w:r>
                </w:p>
                <w:p>
                  <w:pPr>
                    <w:spacing w:line="240" w:lineRule="exact"/>
                    <w:rPr>
                      <w:rFonts w:ascii="楷体" w:hAnsi="楷体" w:eastAsia="楷体"/>
                    </w:rPr>
                  </w:pPr>
                </w:p>
              </w:tc>
              <w:tc>
                <w:tcPr>
                  <w:tcW w:w="1304" w:type="dxa"/>
                </w:tcPr>
                <w:p>
                  <w:pPr>
                    <w:spacing w:line="240" w:lineRule="exact"/>
                    <w:rPr>
                      <w:rFonts w:ascii="楷体" w:hAnsi="楷体" w:eastAsia="楷体"/>
                    </w:rPr>
                  </w:pPr>
                  <w:r>
                    <w:rPr>
                      <w:rFonts w:hint="eastAsia" w:ascii="楷体" w:hAnsi="楷体" w:eastAsia="楷体"/>
                    </w:rPr>
                    <w:t>机械伤害、高温烫伤\起重伤害\高空堕落控制为0</w:t>
                  </w:r>
                </w:p>
              </w:tc>
              <w:tc>
                <w:tcPr>
                  <w:tcW w:w="4299" w:type="dxa"/>
                </w:tcPr>
                <w:p>
                  <w:pPr>
                    <w:spacing w:line="240" w:lineRule="exact"/>
                    <w:rPr>
                      <w:rFonts w:ascii="楷体" w:hAnsi="楷体" w:eastAsia="楷体"/>
                    </w:rPr>
                  </w:pPr>
                  <w:r>
                    <w:rPr>
                      <w:rFonts w:hint="eastAsia" w:ascii="楷体" w:hAnsi="楷体" w:eastAsia="楷体"/>
                    </w:rPr>
                    <w:t>1、机械设备\特种设备应按技术性能的要求正确使用，缺少安全装置已失效的机械设备不得使用，定期检查设备日常运行保持安全正常状态运行。</w:t>
                  </w:r>
                </w:p>
                <w:p>
                  <w:pPr>
                    <w:spacing w:line="240" w:lineRule="exact"/>
                    <w:rPr>
                      <w:rFonts w:ascii="楷体" w:hAnsi="楷体" w:eastAsia="楷体"/>
                    </w:rPr>
                  </w:pPr>
                  <w:r>
                    <w:rPr>
                      <w:rFonts w:hint="eastAsia" w:ascii="楷体" w:hAnsi="楷体" w:eastAsia="楷体"/>
                    </w:rPr>
                    <w:t>2、机械设备\特种设备的操作、维护人员必须身体健康，并经过专业培训考试合格取得有关部门颁发的操作证书后，方可上岗；</w:t>
                  </w:r>
                </w:p>
                <w:p>
                  <w:pPr>
                    <w:spacing w:line="240" w:lineRule="exact"/>
                    <w:rPr>
                      <w:rFonts w:ascii="楷体" w:hAnsi="楷体" w:eastAsia="楷体"/>
                    </w:rPr>
                  </w:pPr>
                  <w:r>
                    <w:rPr>
                      <w:rFonts w:hint="eastAsia" w:ascii="楷体" w:hAnsi="楷体" w:eastAsia="楷体"/>
                    </w:rPr>
                    <w:t>3、操作时，操作、维护人员必须按规定穿戴好劳动保护用品，同时应严格按照机械设备特种设备的安全操作规程作业，严禁酒后操作；</w:t>
                  </w:r>
                </w:p>
                <w:p>
                  <w:pPr>
                    <w:spacing w:line="240" w:lineRule="exact"/>
                    <w:rPr>
                      <w:rFonts w:ascii="楷体" w:hAnsi="楷体" w:eastAsia="楷体"/>
                    </w:rPr>
                  </w:pPr>
                  <w:r>
                    <w:rPr>
                      <w:rFonts w:hint="eastAsia" w:ascii="楷体" w:hAnsi="楷体" w:eastAsia="楷体"/>
                    </w:rPr>
                    <w:t>4、机械设备\特种设备定期进行保养，当发现有漏保、失修或带病运转等情况时，立即停止使用。严禁在运转和运行中对机械设备进行维护、保养或调整作业。</w:t>
                  </w:r>
                </w:p>
                <w:p>
                  <w:pPr>
                    <w:spacing w:line="240" w:lineRule="exact"/>
                    <w:rPr>
                      <w:rFonts w:ascii="楷体" w:hAnsi="楷体" w:eastAsia="楷体"/>
                    </w:rPr>
                  </w:pPr>
                  <w:r>
                    <w:rPr>
                      <w:rFonts w:hint="eastAsia" w:ascii="楷体" w:hAnsi="楷体" w:eastAsia="楷体"/>
                    </w:rPr>
                    <w:t>5、高空作业严格执行作业许可，经审批后执行、作业时需做好安全检查工作，佩戴安全防护设施，实施一个操作一个监护。</w:t>
                  </w:r>
                </w:p>
                <w:p>
                  <w:pPr>
                    <w:spacing w:line="240" w:lineRule="exact"/>
                    <w:rPr>
                      <w:rFonts w:ascii="楷体" w:hAnsi="楷体" w:eastAsia="楷体"/>
                    </w:rPr>
                  </w:pPr>
                  <w:r>
                    <w:rPr>
                      <w:rFonts w:hint="eastAsia" w:ascii="楷体" w:hAnsi="楷体" w:eastAsia="楷体"/>
                    </w:rPr>
                    <w:t>6、预计费用2万元。</w:t>
                  </w:r>
                </w:p>
                <w:p>
                  <w:pPr>
                    <w:spacing w:line="240" w:lineRule="exact"/>
                    <w:rPr>
                      <w:rFonts w:ascii="楷体" w:hAnsi="楷体" w:eastAsia="楷体"/>
                    </w:rPr>
                  </w:pPr>
                </w:p>
              </w:tc>
              <w:tc>
                <w:tcPr>
                  <w:tcW w:w="1117" w:type="dxa"/>
                </w:tcPr>
                <w:p>
                  <w:pPr>
                    <w:spacing w:line="240" w:lineRule="exact"/>
                    <w:rPr>
                      <w:rFonts w:ascii="楷体" w:hAnsi="楷体" w:eastAsia="楷体"/>
                    </w:rPr>
                  </w:pPr>
                  <w:r>
                    <w:rPr>
                      <w:rFonts w:hint="eastAsia" w:ascii="楷体" w:hAnsi="楷体" w:eastAsia="楷体"/>
                    </w:rPr>
                    <w:t>2019.1-2020.12</w:t>
                  </w:r>
                </w:p>
              </w:tc>
              <w:tc>
                <w:tcPr>
                  <w:tcW w:w="899" w:type="dxa"/>
                </w:tcPr>
                <w:p>
                  <w:pPr>
                    <w:spacing w:line="240" w:lineRule="exact"/>
                    <w:rPr>
                      <w:rFonts w:ascii="楷体" w:hAnsi="楷体" w:eastAsia="楷体"/>
                    </w:rPr>
                  </w:pPr>
                  <w:r>
                    <w:rPr>
                      <w:rFonts w:hint="eastAsia" w:ascii="楷体" w:hAnsi="楷体" w:eastAsia="楷体"/>
                    </w:rPr>
                    <w:t>生产部</w:t>
                  </w:r>
                </w:p>
                <w:p>
                  <w:pPr>
                    <w:spacing w:line="240" w:lineRule="exact"/>
                    <w:rPr>
                      <w:rFonts w:ascii="楷体" w:hAnsi="楷体" w:eastAsia="楷体"/>
                    </w:rPr>
                  </w:pPr>
                </w:p>
              </w:tc>
              <w:tc>
                <w:tcPr>
                  <w:tcW w:w="684" w:type="dxa"/>
                </w:tcPr>
                <w:p>
                  <w:pPr>
                    <w:spacing w:line="240" w:lineRule="exact"/>
                    <w:rPr>
                      <w:rFonts w:ascii="楷体" w:hAnsi="楷体" w:eastAsia="楷体"/>
                    </w:rPr>
                  </w:pPr>
                  <w:r>
                    <w:rPr>
                      <w:rFonts w:hint="eastAsia" w:ascii="楷体" w:hAnsi="楷体" w:eastAsia="楷体"/>
                    </w:rPr>
                    <w:t>杨科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1027" w:type="dxa"/>
                </w:tcPr>
                <w:p>
                  <w:pPr>
                    <w:spacing w:line="240" w:lineRule="exact"/>
                    <w:rPr>
                      <w:rFonts w:ascii="楷体" w:hAnsi="楷体" w:eastAsia="楷体"/>
                    </w:rPr>
                  </w:pPr>
                  <w:r>
                    <w:rPr>
                      <w:rFonts w:hint="eastAsia" w:ascii="楷体" w:hAnsi="楷体" w:eastAsia="楷体"/>
                    </w:rPr>
                    <w:t>职业病（粉尘引发尘肺病、噪声引起耳聋）的控制</w:t>
                  </w:r>
                </w:p>
              </w:tc>
              <w:tc>
                <w:tcPr>
                  <w:tcW w:w="1304" w:type="dxa"/>
                </w:tcPr>
                <w:p>
                  <w:pPr>
                    <w:spacing w:line="240" w:lineRule="exact"/>
                    <w:rPr>
                      <w:rFonts w:ascii="楷体" w:hAnsi="楷体" w:eastAsia="楷体"/>
                    </w:rPr>
                  </w:pPr>
                  <w:r>
                    <w:rPr>
                      <w:rFonts w:hint="eastAsia" w:ascii="楷体" w:hAnsi="楷体" w:eastAsia="楷体"/>
                    </w:rPr>
                    <w:t>职业病发生率为0</w:t>
                  </w:r>
                </w:p>
              </w:tc>
              <w:tc>
                <w:tcPr>
                  <w:tcW w:w="4299" w:type="dxa"/>
                </w:tcPr>
                <w:p>
                  <w:pPr>
                    <w:spacing w:line="240" w:lineRule="exact"/>
                    <w:rPr>
                      <w:rFonts w:ascii="楷体" w:hAnsi="楷体" w:eastAsia="楷体"/>
                    </w:rPr>
                  </w:pPr>
                  <w:r>
                    <w:rPr>
                      <w:rFonts w:hint="eastAsia" w:ascii="楷体" w:hAnsi="楷体" w:eastAsia="楷体"/>
                    </w:rPr>
                    <w:t>1、对公司相关人员开展职业病知识培训，提高对职业病防治意识和能力</w:t>
                  </w:r>
                </w:p>
                <w:p>
                  <w:pPr>
                    <w:spacing w:line="240" w:lineRule="exact"/>
                    <w:rPr>
                      <w:rFonts w:ascii="楷体" w:hAnsi="楷体" w:eastAsia="楷体"/>
                    </w:rPr>
                  </w:pPr>
                  <w:r>
                    <w:rPr>
                      <w:rFonts w:hint="eastAsia" w:ascii="楷体" w:hAnsi="楷体" w:eastAsia="楷体"/>
                    </w:rPr>
                    <w:t>2、下料、剪板、切割、焊接等相关工作人员要求佩戴口罩、佩戴耳塞、在操作完毕后进行操作室，避免长时间逗留在高分贝场所。</w:t>
                  </w:r>
                </w:p>
                <w:p>
                  <w:pPr>
                    <w:spacing w:line="240" w:lineRule="exact"/>
                    <w:rPr>
                      <w:rFonts w:ascii="楷体" w:hAnsi="楷体" w:eastAsia="楷体"/>
                    </w:rPr>
                  </w:pPr>
                  <w:r>
                    <w:rPr>
                      <w:rFonts w:hint="eastAsia" w:ascii="楷体" w:hAnsi="楷体" w:eastAsia="楷体"/>
                    </w:rPr>
                    <w:t>3、在生产过程中料、剪板、切割、焊接采用袋式除尘器进行收集。</w:t>
                  </w:r>
                </w:p>
                <w:p>
                  <w:pPr>
                    <w:spacing w:line="240" w:lineRule="exact"/>
                    <w:rPr>
                      <w:rFonts w:ascii="楷体" w:hAnsi="楷体" w:eastAsia="楷体"/>
                    </w:rPr>
                  </w:pPr>
                  <w:r>
                    <w:rPr>
                      <w:rFonts w:hint="eastAsia" w:ascii="楷体" w:hAnsi="楷体" w:eastAsia="楷体"/>
                    </w:rPr>
                    <w:t>4、对生产场所实施每天清扫卫生，及时清理生活垃圾，保持生产场所清洁卫生。</w:t>
                  </w:r>
                </w:p>
                <w:p>
                  <w:pPr>
                    <w:spacing w:line="240" w:lineRule="exact"/>
                    <w:rPr>
                      <w:rFonts w:ascii="楷体" w:hAnsi="楷体" w:eastAsia="楷体"/>
                    </w:rPr>
                  </w:pPr>
                  <w:r>
                    <w:rPr>
                      <w:rFonts w:hint="eastAsia" w:ascii="楷体" w:hAnsi="楷体" w:eastAsia="楷体"/>
                    </w:rPr>
                    <w:t>5、及时发放劳保用品（口罩、耳塞），做好人身防护，防止职业病；积极锻炼身体，提高免疫能力。</w:t>
                  </w:r>
                </w:p>
                <w:p>
                  <w:pPr>
                    <w:spacing w:line="240" w:lineRule="exact"/>
                    <w:rPr>
                      <w:rFonts w:ascii="楷体" w:hAnsi="楷体" w:eastAsia="楷体"/>
                    </w:rPr>
                  </w:pPr>
                  <w:r>
                    <w:rPr>
                      <w:rFonts w:hint="eastAsia" w:ascii="楷体" w:hAnsi="楷体" w:eastAsia="楷体"/>
                    </w:rPr>
                    <w:t>6、对于车间操作人员及时检查是否有发烧等异常情况，如有及时到医院检查、确认，如有异常，及时采取隔离措施，防治传染病疫情的蔓延。</w:t>
                  </w:r>
                </w:p>
                <w:p>
                  <w:pPr>
                    <w:spacing w:line="240" w:lineRule="exact"/>
                    <w:rPr>
                      <w:rFonts w:ascii="楷体" w:hAnsi="楷体" w:eastAsia="楷体"/>
                    </w:rPr>
                  </w:pPr>
                  <w:r>
                    <w:rPr>
                      <w:rFonts w:hint="eastAsia" w:ascii="楷体" w:hAnsi="楷体" w:eastAsia="楷体"/>
                    </w:rPr>
                    <w:t>7、组织对员工进行职业健康体检。</w:t>
                  </w:r>
                </w:p>
                <w:p>
                  <w:pPr>
                    <w:spacing w:line="240" w:lineRule="exact"/>
                    <w:rPr>
                      <w:rFonts w:ascii="楷体" w:hAnsi="楷体" w:eastAsia="楷体"/>
                    </w:rPr>
                  </w:pPr>
                  <w:r>
                    <w:rPr>
                      <w:rFonts w:hint="eastAsia" w:ascii="楷体" w:hAnsi="楷体" w:eastAsia="楷体"/>
                    </w:rPr>
                    <w:t>8、预计费用5千元</w:t>
                  </w:r>
                </w:p>
                <w:p>
                  <w:pPr>
                    <w:spacing w:line="240" w:lineRule="exact"/>
                    <w:rPr>
                      <w:rFonts w:ascii="楷体" w:hAnsi="楷体" w:eastAsia="楷体"/>
                    </w:rPr>
                  </w:pPr>
                </w:p>
                <w:p>
                  <w:pPr>
                    <w:spacing w:line="240" w:lineRule="exact"/>
                    <w:rPr>
                      <w:rFonts w:ascii="楷体" w:hAnsi="楷体" w:eastAsia="楷体"/>
                    </w:rPr>
                  </w:pPr>
                </w:p>
              </w:tc>
              <w:tc>
                <w:tcPr>
                  <w:tcW w:w="1117" w:type="dxa"/>
                </w:tcPr>
                <w:p>
                  <w:pPr>
                    <w:spacing w:line="240" w:lineRule="exact"/>
                    <w:rPr>
                      <w:rFonts w:ascii="楷体" w:hAnsi="楷体" w:eastAsia="楷体"/>
                    </w:rPr>
                  </w:pPr>
                  <w:r>
                    <w:rPr>
                      <w:rFonts w:hint="eastAsia" w:ascii="楷体" w:hAnsi="楷体" w:eastAsia="楷体"/>
                    </w:rPr>
                    <w:t>2019.1-2020.12</w:t>
                  </w:r>
                </w:p>
              </w:tc>
              <w:tc>
                <w:tcPr>
                  <w:tcW w:w="899" w:type="dxa"/>
                </w:tcPr>
                <w:p>
                  <w:pPr>
                    <w:spacing w:line="240" w:lineRule="exact"/>
                    <w:rPr>
                      <w:rFonts w:ascii="楷体" w:hAnsi="楷体" w:eastAsia="楷体"/>
                    </w:rPr>
                  </w:pPr>
                  <w:r>
                    <w:rPr>
                      <w:rFonts w:hint="eastAsia" w:ascii="楷体" w:hAnsi="楷体" w:eastAsia="楷体"/>
                    </w:rPr>
                    <w:t>生产部</w:t>
                  </w:r>
                </w:p>
                <w:p>
                  <w:pPr>
                    <w:spacing w:line="240" w:lineRule="exact"/>
                    <w:rPr>
                      <w:rFonts w:ascii="楷体" w:hAnsi="楷体" w:eastAsia="楷体"/>
                    </w:rPr>
                  </w:pPr>
                </w:p>
              </w:tc>
              <w:tc>
                <w:tcPr>
                  <w:tcW w:w="684" w:type="dxa"/>
                </w:tcPr>
                <w:p>
                  <w:pPr>
                    <w:spacing w:line="240" w:lineRule="exact"/>
                    <w:rPr>
                      <w:rFonts w:ascii="楷体" w:hAnsi="楷体" w:eastAsia="楷体"/>
                    </w:rPr>
                  </w:pPr>
                  <w:r>
                    <w:rPr>
                      <w:rFonts w:hint="eastAsia" w:ascii="楷体" w:hAnsi="楷体" w:eastAsia="楷体"/>
                    </w:rPr>
                    <w:t>杨科</w:t>
                  </w:r>
                </w:p>
              </w:tc>
            </w:tr>
          </w:tbl>
          <w:p>
            <w:pPr>
              <w:spacing w:line="360" w:lineRule="auto"/>
              <w:ind w:firstLine="480" w:firstLineChars="200"/>
              <w:rPr>
                <w:rFonts w:ascii="楷体" w:hAnsi="楷体" w:eastAsia="楷体" w:cs="宋体"/>
                <w:sz w:val="24"/>
                <w:szCs w:val="24"/>
              </w:rPr>
            </w:pP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编制:行政部、 审核:杨克勤、批准:吕年华 日期：2019.1.10</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管理方案由责任部门组织实施，目前在实施中，部分已完成。</w:t>
            </w:r>
          </w:p>
          <w:p>
            <w:pPr>
              <w:spacing w:line="360" w:lineRule="auto"/>
              <w:ind w:firstLine="480" w:firstLineChars="200"/>
              <w:rPr>
                <w:rFonts w:ascii="楷体" w:hAnsi="楷体" w:eastAsia="楷体" w:cs="宋体"/>
                <w:sz w:val="24"/>
                <w:szCs w:val="24"/>
              </w:rPr>
            </w:pP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sz w:val="24"/>
                <w:szCs w:val="24"/>
              </w:rPr>
              <w:t>人力资源、能力、意识</w:t>
            </w:r>
          </w:p>
        </w:tc>
        <w:tc>
          <w:tcPr>
            <w:tcW w:w="1276" w:type="dxa"/>
          </w:tcPr>
          <w:p>
            <w:pPr>
              <w:spacing w:line="360" w:lineRule="auto"/>
              <w:rPr>
                <w:rFonts w:ascii="楷体" w:hAnsi="楷体" w:eastAsia="楷体"/>
                <w:sz w:val="24"/>
                <w:szCs w:val="24"/>
              </w:rPr>
            </w:pPr>
            <w:r>
              <w:rPr>
                <w:rFonts w:hint="eastAsia" w:ascii="楷体" w:hAnsi="楷体" w:eastAsia="楷体"/>
                <w:sz w:val="24"/>
                <w:szCs w:val="24"/>
              </w:rPr>
              <w:t>O7.2、7.3</w:t>
            </w:r>
          </w:p>
        </w:tc>
        <w:tc>
          <w:tcPr>
            <w:tcW w:w="10606" w:type="dxa"/>
          </w:tcPr>
          <w:p>
            <w:pPr>
              <w:spacing w:line="360" w:lineRule="auto"/>
              <w:ind w:firstLine="420"/>
              <w:rPr>
                <w:rFonts w:ascii="楷体" w:hAnsi="楷体" w:eastAsia="楷体"/>
                <w:sz w:val="24"/>
                <w:szCs w:val="24"/>
              </w:rPr>
            </w:pPr>
            <w:r>
              <w:rPr>
                <w:rFonts w:hint="eastAsia" w:ascii="楷体" w:hAnsi="楷体" w:eastAsia="楷体"/>
                <w:sz w:val="24"/>
                <w:szCs w:val="24"/>
              </w:rPr>
              <w:t>编制执行《人力资源控制程序</w:t>
            </w:r>
            <w:r>
              <w:rPr>
                <w:rFonts w:ascii="楷体" w:hAnsi="楷体" w:eastAsia="楷体"/>
                <w:sz w:val="24"/>
                <w:szCs w:val="24"/>
              </w:rPr>
              <w:t>HZSY-CX03-2019</w:t>
            </w:r>
            <w:r>
              <w:rPr>
                <w:rFonts w:hint="eastAsia" w:ascii="楷体" w:hAnsi="楷体" w:eastAsia="楷体"/>
                <w:sz w:val="24"/>
                <w:szCs w:val="24"/>
              </w:rPr>
              <w:t>》，规定了人力资源配备、培训计划与实施，考核与认可等予以规定。</w:t>
            </w:r>
          </w:p>
          <w:p>
            <w:pPr>
              <w:spacing w:line="360" w:lineRule="auto"/>
              <w:ind w:firstLine="420"/>
              <w:rPr>
                <w:rFonts w:ascii="楷体" w:hAnsi="楷体" w:eastAsia="楷体"/>
                <w:sz w:val="24"/>
                <w:szCs w:val="24"/>
              </w:rPr>
            </w:pPr>
            <w:r>
              <w:rPr>
                <w:rFonts w:hint="eastAsia" w:ascii="楷体" w:hAnsi="楷体" w:eastAsia="楷体"/>
                <w:sz w:val="24"/>
                <w:szCs w:val="24"/>
              </w:rPr>
              <w:t>企业配置了适宜的人员：如管理人员、技术人员、采购人员、销售人员、生产操作工、检验人员、库管员等；人员配置基本满足日常管理体系运行要求。</w:t>
            </w:r>
          </w:p>
          <w:p>
            <w:pPr>
              <w:spacing w:line="360" w:lineRule="auto"/>
              <w:ind w:firstLine="420"/>
              <w:rPr>
                <w:rFonts w:ascii="楷体" w:hAnsi="楷体" w:eastAsia="楷体"/>
                <w:sz w:val="24"/>
                <w:szCs w:val="24"/>
              </w:rPr>
            </w:pPr>
            <w:r>
              <w:rPr>
                <w:rFonts w:hint="eastAsia" w:ascii="楷体" w:hAnsi="楷体" w:eastAsia="楷体"/>
                <w:sz w:val="24"/>
                <w:szCs w:val="24"/>
              </w:rPr>
              <w:t>行政部对各岗位人员进行能力考核，根据结果采取措施，通常是采取培训方式。</w:t>
            </w:r>
          </w:p>
          <w:p>
            <w:pPr>
              <w:spacing w:line="360" w:lineRule="auto"/>
              <w:ind w:firstLine="420"/>
              <w:rPr>
                <w:rFonts w:ascii="楷体" w:hAnsi="楷体" w:eastAsia="楷体"/>
                <w:sz w:val="24"/>
                <w:szCs w:val="24"/>
              </w:rPr>
            </w:pPr>
            <w:r>
              <w:rPr>
                <w:rFonts w:hint="eastAsia" w:ascii="楷体" w:hAnsi="楷体" w:eastAsia="楷体"/>
                <w:sz w:val="24"/>
                <w:szCs w:val="24"/>
              </w:rPr>
              <w:t>查到“2019年度培训计划”，编制: 行政部 、审核：李国洪、批准: 杨惠，日期: 2019年3月10日；“2020年度培训计划”，编制: 行政部 、审核：李国洪、批准: 杨惠，日期: 2019年3月7日。</w:t>
            </w:r>
          </w:p>
          <w:p>
            <w:pPr>
              <w:spacing w:line="360" w:lineRule="auto"/>
              <w:ind w:firstLine="420"/>
              <w:rPr>
                <w:rFonts w:ascii="楷体" w:hAnsi="楷体" w:eastAsia="楷体" w:cs="Arial"/>
                <w:sz w:val="24"/>
                <w:szCs w:val="24"/>
                <w:highlight w:val="yellow"/>
              </w:rPr>
            </w:pPr>
            <w:r>
              <w:rPr>
                <w:rFonts w:hint="eastAsia" w:ascii="楷体" w:hAnsi="楷体" w:eastAsia="楷体"/>
                <w:sz w:val="24"/>
                <w:szCs w:val="24"/>
              </w:rPr>
              <w:t>培训内容涉及：标准、体系文件、内审员、岗位技能、环境、安全管理目标及方案、相关法规等。</w:t>
            </w:r>
          </w:p>
          <w:p>
            <w:pPr>
              <w:spacing w:line="360" w:lineRule="auto"/>
              <w:ind w:firstLine="420"/>
              <w:rPr>
                <w:rFonts w:ascii="楷体" w:hAnsi="楷体" w:eastAsia="楷体"/>
                <w:sz w:val="24"/>
                <w:szCs w:val="24"/>
              </w:rPr>
            </w:pPr>
            <w:r>
              <w:rPr>
                <w:rFonts w:hint="eastAsia" w:ascii="楷体" w:hAnsi="楷体" w:eastAsia="楷体"/>
                <w:sz w:val="24"/>
                <w:szCs w:val="24"/>
              </w:rPr>
              <w:t>抽查：《培训记录及培训效果评价表》，</w:t>
            </w:r>
          </w:p>
          <w:p>
            <w:pPr>
              <w:spacing w:line="360" w:lineRule="auto"/>
              <w:ind w:firstLine="420"/>
              <w:rPr>
                <w:rFonts w:ascii="楷体" w:hAnsi="楷体" w:eastAsia="楷体"/>
                <w:sz w:val="24"/>
                <w:szCs w:val="24"/>
              </w:rPr>
            </w:pPr>
            <w:r>
              <w:rPr>
                <w:rFonts w:hint="eastAsia" w:ascii="楷体" w:hAnsi="楷体" w:eastAsia="楷体"/>
                <w:sz w:val="24"/>
                <w:szCs w:val="24"/>
              </w:rPr>
              <w:t>1、2019.4.9日管理手册培训，培训方式授课，有培训内容摘要，经现场讨论考核合格。</w:t>
            </w:r>
          </w:p>
          <w:p>
            <w:pPr>
              <w:spacing w:line="360" w:lineRule="auto"/>
              <w:ind w:firstLine="420"/>
              <w:rPr>
                <w:rFonts w:ascii="楷体" w:hAnsi="楷体" w:eastAsia="楷体"/>
                <w:sz w:val="24"/>
                <w:szCs w:val="24"/>
              </w:rPr>
            </w:pPr>
            <w:r>
              <w:rPr>
                <w:rFonts w:hint="eastAsia" w:ascii="楷体" w:hAnsi="楷体" w:eastAsia="楷体"/>
                <w:sz w:val="24"/>
                <w:szCs w:val="24"/>
              </w:rPr>
              <w:t>2、2019.6.11日环境、安全管理目标及方案培训，培训方式授课，有培训内容摘要，经现场讨论考核合格。</w:t>
            </w:r>
          </w:p>
          <w:p>
            <w:pPr>
              <w:spacing w:line="360" w:lineRule="auto"/>
              <w:ind w:firstLine="420"/>
              <w:rPr>
                <w:rFonts w:ascii="楷体" w:hAnsi="楷体" w:eastAsia="楷体"/>
                <w:sz w:val="24"/>
                <w:szCs w:val="24"/>
              </w:rPr>
            </w:pPr>
            <w:r>
              <w:rPr>
                <w:rFonts w:hint="eastAsia" w:ascii="楷体" w:hAnsi="楷体" w:eastAsia="楷体"/>
                <w:sz w:val="24"/>
                <w:szCs w:val="24"/>
              </w:rPr>
              <w:t>3、2019.8.13日岗位技能培训，培训方式授课，有培训内容摘要，经现场讨论及实操考核合格。</w:t>
            </w:r>
          </w:p>
          <w:p>
            <w:pPr>
              <w:spacing w:line="360" w:lineRule="auto"/>
              <w:ind w:firstLine="420"/>
              <w:rPr>
                <w:rFonts w:ascii="楷体" w:hAnsi="楷体" w:eastAsia="楷体"/>
                <w:sz w:val="24"/>
                <w:szCs w:val="24"/>
              </w:rPr>
            </w:pPr>
            <w:r>
              <w:rPr>
                <w:rFonts w:hint="eastAsia" w:ascii="楷体" w:hAnsi="楷体" w:eastAsia="楷体"/>
                <w:sz w:val="24"/>
                <w:szCs w:val="24"/>
              </w:rPr>
              <w:t>4、2020.3.16日地方法律法规的培训，培训方式授课，有培训内容摘要，经现场讨论考核合格。</w:t>
            </w:r>
          </w:p>
          <w:p>
            <w:pPr>
              <w:spacing w:line="360" w:lineRule="auto"/>
              <w:ind w:firstLine="420"/>
              <w:rPr>
                <w:rFonts w:ascii="楷体" w:hAnsi="楷体" w:eastAsia="楷体"/>
                <w:sz w:val="24"/>
                <w:szCs w:val="24"/>
              </w:rPr>
            </w:pPr>
            <w:r>
              <w:rPr>
                <w:rFonts w:hint="eastAsia" w:ascii="楷体" w:hAnsi="楷体" w:eastAsia="楷体"/>
                <w:sz w:val="24"/>
                <w:szCs w:val="24"/>
              </w:rPr>
              <w:t>5、抽查三级安全教育培训情况，公司提供了电焊工谢绍辉、普工何富兴、刘建平等人员的三级安全教育培训记录卡（I级公司级安全教育，培训讲师：杨志勇，培训日期：2019-11-10；II级部门级安全教育，培训讲师：杨志勇，培训日期：2019.10.11；III级班组级安全教育，培训讲师：杨志勇，培训日期：2019.11.12，培训考核优秀）</w:t>
            </w:r>
          </w:p>
          <w:p>
            <w:pPr>
              <w:spacing w:line="360" w:lineRule="auto"/>
              <w:ind w:firstLine="420"/>
              <w:rPr>
                <w:rFonts w:ascii="楷体" w:hAnsi="楷体" w:eastAsia="楷体"/>
                <w:sz w:val="24"/>
                <w:szCs w:val="24"/>
                <w:highlight w:val="yellow"/>
              </w:rPr>
            </w:pPr>
            <w:r>
              <w:rPr>
                <w:rFonts w:hint="eastAsia" w:ascii="楷体" w:hAnsi="楷体" w:eastAsia="楷体"/>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pPr>
              <w:autoSpaceDE w:val="0"/>
              <w:autoSpaceDN w:val="0"/>
              <w:spacing w:line="360" w:lineRule="auto"/>
              <w:ind w:firstLine="480" w:firstLineChars="200"/>
              <w:rPr>
                <w:rFonts w:ascii="楷体" w:hAnsi="楷体" w:eastAsia="楷体"/>
                <w:sz w:val="24"/>
                <w:szCs w:val="24"/>
              </w:rPr>
            </w:pPr>
            <w:r>
              <w:rPr>
                <w:rFonts w:hint="eastAsia" w:ascii="楷体" w:hAnsi="楷体" w:eastAsia="楷体"/>
                <w:sz w:val="24"/>
                <w:szCs w:val="24"/>
              </w:rPr>
              <w:t>查特种作业人员：</w:t>
            </w:r>
          </w:p>
          <w:p>
            <w:pPr>
              <w:autoSpaceDE w:val="0"/>
              <w:autoSpaceDN w:val="0"/>
              <w:spacing w:line="360" w:lineRule="auto"/>
              <w:ind w:firstLine="480" w:firstLineChars="200"/>
              <w:rPr>
                <w:rFonts w:ascii="楷体" w:hAnsi="楷体" w:eastAsia="楷体"/>
                <w:sz w:val="24"/>
                <w:szCs w:val="24"/>
              </w:rPr>
            </w:pPr>
            <w:r>
              <w:rPr>
                <w:rFonts w:hint="eastAsia" w:ascii="楷体" w:hAnsi="楷体" w:eastAsia="楷体"/>
                <w:sz w:val="24"/>
                <w:szCs w:val="24"/>
              </w:rPr>
              <w:t>提供电工资格人数9人，（姓名谢绍辉，证件编号T362203198011101211；姓名：陈三勇；证书编号：T366220319781128471X等，</w:t>
            </w:r>
            <w:r>
              <w:rPr>
                <w:rFonts w:ascii="楷体" w:hAnsi="楷体" w:eastAsia="楷体"/>
                <w:sz w:val="24"/>
                <w:szCs w:val="24"/>
              </w:rPr>
              <w:t>…，</w:t>
            </w:r>
            <w:r>
              <w:rPr>
                <w:rFonts w:hint="eastAsia" w:ascii="楷体" w:hAnsi="楷体" w:eastAsia="楷体"/>
                <w:sz w:val="24"/>
                <w:szCs w:val="24"/>
              </w:rPr>
              <w:t>见附件。），有效期限：2024.07.17复审日期：2021.07。</w:t>
            </w:r>
          </w:p>
          <w:p>
            <w:pPr>
              <w:autoSpaceDE w:val="0"/>
              <w:autoSpaceDN w:val="0"/>
              <w:spacing w:line="360" w:lineRule="auto"/>
              <w:ind w:firstLine="480" w:firstLineChars="200"/>
              <w:rPr>
                <w:rFonts w:ascii="楷体" w:hAnsi="楷体" w:eastAsia="楷体"/>
                <w:sz w:val="24"/>
                <w:szCs w:val="24"/>
              </w:rPr>
            </w:pPr>
            <w:r>
              <w:rPr>
                <w:rFonts w:ascii="楷体" w:hAnsi="楷体" w:eastAsia="楷体"/>
                <w:sz w:val="24"/>
                <w:szCs w:val="24"/>
              </w:rPr>
              <w:drawing>
                <wp:inline distT="0" distB="0" distL="0" distR="0">
                  <wp:extent cx="2638425" cy="3990975"/>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a:srcRect/>
                          <a:stretch>
                            <a:fillRect/>
                          </a:stretch>
                        </pic:blipFill>
                        <pic:spPr>
                          <a:xfrm>
                            <a:off x="0" y="0"/>
                            <a:ext cx="2638425" cy="3991120"/>
                          </a:xfrm>
                          <a:prstGeom prst="rect">
                            <a:avLst/>
                          </a:prstGeom>
                          <a:noFill/>
                          <a:ln w="9525">
                            <a:noFill/>
                            <a:miter lim="800000"/>
                            <a:headEnd/>
                            <a:tailEnd/>
                          </a:ln>
                        </pic:spPr>
                      </pic:pic>
                    </a:graphicData>
                  </a:graphic>
                </wp:inline>
              </w:drawing>
            </w:r>
          </w:p>
          <w:p>
            <w:pPr>
              <w:autoSpaceDE w:val="0"/>
              <w:autoSpaceDN w:val="0"/>
              <w:spacing w:line="360" w:lineRule="auto"/>
              <w:ind w:firstLine="480" w:firstLineChars="200"/>
              <w:rPr>
                <w:rFonts w:ascii="楷体" w:hAnsi="楷体" w:eastAsia="楷体"/>
                <w:sz w:val="24"/>
                <w:szCs w:val="24"/>
              </w:rPr>
            </w:pPr>
            <w:r>
              <w:rPr>
                <w:rFonts w:hint="eastAsia" w:ascii="楷体" w:hAnsi="楷体" w:eastAsia="楷体"/>
                <w:sz w:val="24"/>
                <w:szCs w:val="24"/>
              </w:rPr>
              <w:t>提供维修电工四级证书，姓名：黄少平，证书编号：1614020000432821；成绩：合格；发证机关：职业技术鉴定指导中心/九江市人力资源和社会保障局</w:t>
            </w:r>
          </w:p>
          <w:p>
            <w:pPr>
              <w:autoSpaceDE w:val="0"/>
              <w:autoSpaceDN w:val="0"/>
              <w:spacing w:line="360" w:lineRule="auto"/>
              <w:ind w:firstLine="480" w:firstLineChars="200"/>
              <w:rPr>
                <w:rFonts w:ascii="楷体" w:hAnsi="楷体" w:eastAsia="楷体"/>
                <w:sz w:val="24"/>
                <w:szCs w:val="24"/>
              </w:rPr>
            </w:pPr>
            <w:r>
              <w:rPr>
                <w:rFonts w:hint="eastAsia" w:ascii="楷体" w:hAnsi="楷体" w:eastAsia="楷体"/>
                <w:sz w:val="24"/>
                <w:szCs w:val="24"/>
              </w:rPr>
              <w:t>提供起重机操作员证，姓名：王晨辉，证书编号：362428179210080058；档案编号：JXC1201812625；发证机关：宜春市质量技术监督局；作业代码：Q4；有效期：2022-04-01；</w:t>
            </w:r>
          </w:p>
          <w:p>
            <w:pPr>
              <w:autoSpaceDE w:val="0"/>
              <w:autoSpaceDN w:val="0"/>
              <w:spacing w:line="360" w:lineRule="auto"/>
              <w:ind w:firstLine="480" w:firstLineChars="200"/>
              <w:rPr>
                <w:rFonts w:ascii="楷体" w:hAnsi="楷体" w:eastAsia="楷体"/>
                <w:sz w:val="24"/>
                <w:szCs w:val="24"/>
              </w:rPr>
            </w:pPr>
            <w:r>
              <w:rPr>
                <w:rFonts w:hint="eastAsia" w:ascii="楷体" w:hAnsi="楷体" w:eastAsia="楷体"/>
                <w:sz w:val="24"/>
                <w:szCs w:val="24"/>
              </w:rPr>
              <w:t>提供叉车司机操作证，姓名：陈宇，证书编号：362203198303243537；档案编号：JXC1201812715；发证机关：宜春市市场和质量监督管理局；作业代码：N2；有效期：2022-4-23；</w:t>
            </w:r>
          </w:p>
          <w:p>
            <w:pPr>
              <w:autoSpaceDE w:val="0"/>
              <w:autoSpaceDN w:val="0"/>
              <w:spacing w:line="360" w:lineRule="auto"/>
              <w:ind w:firstLine="480" w:firstLineChars="200"/>
              <w:rPr>
                <w:rFonts w:ascii="楷体" w:hAnsi="楷体" w:eastAsia="楷体"/>
                <w:sz w:val="24"/>
                <w:szCs w:val="24"/>
              </w:rPr>
            </w:pPr>
            <w:r>
              <w:rPr>
                <w:rFonts w:ascii="楷体" w:hAnsi="楷体" w:eastAsia="楷体"/>
                <w:sz w:val="24"/>
                <w:szCs w:val="24"/>
              </w:rPr>
              <w:t>以上见附件</w:t>
            </w:r>
            <w:r>
              <w:rPr>
                <w:rFonts w:hint="eastAsia" w:ascii="楷体" w:hAnsi="楷体" w:eastAsia="楷体"/>
                <w:sz w:val="24"/>
                <w:szCs w:val="24"/>
              </w:rPr>
              <w:t>。</w:t>
            </w:r>
          </w:p>
          <w:p>
            <w:pPr>
              <w:tabs>
                <w:tab w:val="left" w:pos="6597"/>
              </w:tabs>
              <w:spacing w:line="360" w:lineRule="auto"/>
              <w:ind w:firstLine="480" w:firstLineChars="200"/>
              <w:rPr>
                <w:rFonts w:ascii="楷体" w:hAnsi="楷体" w:eastAsia="楷体"/>
                <w:sz w:val="24"/>
                <w:szCs w:val="24"/>
                <w:highlight w:val="yellow"/>
              </w:rPr>
            </w:pPr>
            <w:r>
              <w:rPr>
                <w:rFonts w:hint="eastAsia" w:ascii="楷体" w:hAnsi="楷体" w:eastAsia="楷体" w:cs="宋体"/>
                <w:sz w:val="24"/>
                <w:szCs w:val="24"/>
              </w:rPr>
              <w:t>企业已对人力资源的管理、控制进行了策划，并已实施控制，针对体系知识的系统深入学习进行了现场交流。</w:t>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形成文件的信息</w:t>
            </w:r>
          </w:p>
        </w:tc>
        <w:tc>
          <w:tcPr>
            <w:tcW w:w="1276" w:type="dxa"/>
          </w:tcPr>
          <w:p>
            <w:pPr>
              <w:spacing w:line="360" w:lineRule="auto"/>
              <w:rPr>
                <w:rFonts w:ascii="楷体" w:hAnsi="楷体" w:eastAsia="楷体" w:cs="Arial"/>
                <w:sz w:val="24"/>
                <w:szCs w:val="24"/>
              </w:rPr>
            </w:pPr>
            <w:r>
              <w:rPr>
                <w:rFonts w:hint="eastAsia" w:ascii="楷体" w:hAnsi="楷体" w:eastAsia="楷体" w:cs="Arial"/>
                <w:sz w:val="24"/>
                <w:szCs w:val="24"/>
              </w:rPr>
              <w:t>O7.5</w:t>
            </w:r>
          </w:p>
        </w:tc>
        <w:tc>
          <w:tcPr>
            <w:tcW w:w="1060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编制了《文件控制程序</w:t>
            </w:r>
            <w:r>
              <w:rPr>
                <w:rFonts w:ascii="楷体" w:hAnsi="楷体" w:eastAsia="楷体" w:cs="宋体"/>
                <w:sz w:val="24"/>
                <w:szCs w:val="24"/>
              </w:rPr>
              <w:t>HZSY-CX05-2019</w:t>
            </w:r>
            <w:r>
              <w:rPr>
                <w:rFonts w:hint="eastAsia" w:ascii="楷体" w:hAnsi="楷体" w:eastAsia="楷体" w:cs="宋体"/>
                <w:sz w:val="24"/>
                <w:szCs w:val="24"/>
              </w:rPr>
              <w:t>》，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组织策划的体系文件主要包括：《管理手册》，版本：A/0；《质量、环境、职业健康安全管理体系程序文件》版本：A/0，有管理制度、操作规程，以及相关运行记录等。以上文件编制人：行政部，审核人：</w:t>
            </w:r>
            <w:r>
              <w:rPr>
                <w:rFonts w:hint="eastAsia" w:ascii="楷体" w:hAnsi="楷体" w:eastAsia="楷体" w:cs="Arial"/>
                <w:sz w:val="24"/>
                <w:szCs w:val="24"/>
              </w:rPr>
              <w:t>李国洪</w:t>
            </w:r>
            <w:r>
              <w:rPr>
                <w:rFonts w:hint="eastAsia" w:ascii="楷体" w:hAnsi="楷体" w:eastAsia="楷体" w:cs="宋体"/>
                <w:sz w:val="24"/>
                <w:szCs w:val="24"/>
              </w:rPr>
              <w:t>，批准人：杨惠，发布实施日期2019年5月20日。</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公司质量、环境、职业健康安全方针随手册一同发布，并编制目标、指标与管理方案一览表，方针目标发布经过总经理批准、评审，适宜。</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公司体系文件运行良好，能够满足经营需要。公司文件经过验证手册和程序文件基本符合ISO9001：2015、ISO14001:2015、ISO45001:2018标准要求。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查文件发放情况：</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提供了《</w:t>
            </w:r>
            <w:r>
              <w:rPr>
                <w:rFonts w:ascii="楷体" w:hAnsi="楷体" w:eastAsia="楷体" w:cs="宋体"/>
                <w:sz w:val="24"/>
                <w:szCs w:val="24"/>
              </w:rPr>
              <w:t>文件发放、回收登记表</w:t>
            </w:r>
            <w:r>
              <w:rPr>
                <w:rFonts w:hint="eastAsia" w:ascii="楷体" w:hAnsi="楷体" w:eastAsia="楷体" w:cs="宋体"/>
                <w:sz w:val="24"/>
                <w:szCs w:val="24"/>
              </w:rPr>
              <w:t>》，所有文件均由行政部发放，录有管理手册、程序、作业文件及标准、法律法规等外来文件。</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查外来文件管理：</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对外来文件及法律法规进行了收集、识别、分发、控制。外来文件采用了统一保管、借阅使用的方法进行控制。由行政部负责通过到主管部门、网上收集、标准发布部门进行购买，并对外来文件的识别、跟踪、控制。查到：《外来文件清单》、《环境法律法规及其他要求清单》、《职业健康安全法律法规及其他要求清单》，有：《</w:t>
            </w:r>
            <w:r>
              <w:rPr>
                <w:rFonts w:ascii="楷体" w:hAnsi="楷体" w:eastAsia="楷体" w:cs="宋体"/>
                <w:sz w:val="24"/>
                <w:szCs w:val="24"/>
              </w:rPr>
              <w:t>GB/T19001-2016</w:t>
            </w:r>
            <w:r>
              <w:rPr>
                <w:rFonts w:hint="eastAsia" w:ascii="楷体" w:hAnsi="楷体" w:eastAsia="楷体" w:cs="宋体"/>
                <w:sz w:val="24"/>
                <w:szCs w:val="24"/>
              </w:rPr>
              <w:t>质量管理体系  要求》《中华人民共和国环境保护法》、《中华人民共和国消防法》、《</w:t>
            </w:r>
            <w:r>
              <w:rPr>
                <w:rFonts w:ascii="楷体" w:hAnsi="楷体" w:eastAsia="楷体" w:cs="宋体"/>
                <w:sz w:val="24"/>
                <w:szCs w:val="24"/>
              </w:rPr>
              <w:t>QBT 4902-2016</w:t>
            </w:r>
            <w:r>
              <w:rPr>
                <w:rFonts w:hint="eastAsia" w:ascii="楷体" w:hAnsi="楷体" w:eastAsia="楷体" w:cs="宋体"/>
                <w:sz w:val="24"/>
                <w:szCs w:val="24"/>
              </w:rPr>
              <w:t>金属垃圾箱》等法律法规和执行标准，外来文件管理符合要求。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查作废文件控制：根据文审要求修订了管理手册，替换了修改页，原页面销毁。</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查看组织行政部文件管理情况，通过纸张、电子版形式文件化，文件名称、编号、内容等字迹清晰，标识易于识别、检索、可追溯，纸质文件存放在文件柜中，防水防潮，储存环境适宜。</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查到了“记录一览表”，记录设置符合公司实施运行要求，基本包含了体系要求的相关记录；《记录一览表》，内容清晰，规定了记录的名称、编号、保存期限等信息。 记录以名称、编号进行唯一性标识。</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阅了记录：《合规性评价报告》、《应急演练记录》、《顾客满意度统计分析报告》、《环境、安全检查记录》等体系运行记录，记录比较完整，内容规范全面，字迹清楚，有填表人、检查人等信息，易于检索，符合要求。</w:t>
            </w:r>
          </w:p>
          <w:p>
            <w:pPr>
              <w:spacing w:line="360" w:lineRule="auto"/>
              <w:rPr>
                <w:rFonts w:ascii="楷体" w:hAnsi="楷体" w:eastAsia="楷体" w:cs="宋体"/>
                <w:sz w:val="24"/>
                <w:szCs w:val="24"/>
              </w:rPr>
            </w:pPr>
            <w:r>
              <w:rPr>
                <w:rFonts w:hint="eastAsia" w:ascii="楷体" w:hAnsi="楷体" w:eastAsia="楷体" w:cs="宋体"/>
                <w:sz w:val="24"/>
                <w:szCs w:val="24"/>
              </w:rPr>
              <w:t>　 察看记录存放处：各类记录分类存放，部门用记录由相关部门保管，置于文件夹或档案盒（袋）内，统一放置于文件资料柜中，干燥、通风、容易查询，记录保存方式和地点基本可以满足企业现有的体系运行需求。</w:t>
            </w:r>
          </w:p>
          <w:p>
            <w:pPr>
              <w:spacing w:line="360" w:lineRule="auto"/>
              <w:rPr>
                <w:rFonts w:ascii="楷体" w:hAnsi="楷体" w:eastAsia="楷体" w:cs="宋体"/>
                <w:sz w:val="24"/>
                <w:szCs w:val="24"/>
              </w:rPr>
            </w:pPr>
            <w:r>
              <w:rPr>
                <w:rFonts w:hint="eastAsia" w:ascii="楷体" w:hAnsi="楷体" w:eastAsia="楷体" w:cs="宋体"/>
                <w:sz w:val="24"/>
                <w:szCs w:val="24"/>
              </w:rPr>
              <w:t>　　经了解，目前作废文件已销毁，由行政部统一处理。</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总体来说，公司文件化信息控制基本有效。</w:t>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环境因素/</w:t>
            </w:r>
            <w:r>
              <w:rPr>
                <w:rFonts w:hint="eastAsia" w:ascii="楷体" w:hAnsi="楷体" w:eastAsia="楷体" w:cs="楷体"/>
                <w:sz w:val="24"/>
                <w:szCs w:val="24"/>
              </w:rPr>
              <w:t>危险源</w:t>
            </w:r>
          </w:p>
        </w:tc>
        <w:tc>
          <w:tcPr>
            <w:tcW w:w="1276" w:type="dxa"/>
          </w:tcPr>
          <w:p>
            <w:pPr>
              <w:spacing w:line="360" w:lineRule="auto"/>
              <w:rPr>
                <w:rFonts w:ascii="楷体" w:hAnsi="楷体" w:eastAsia="楷体" w:cs="楷体"/>
                <w:sz w:val="24"/>
                <w:szCs w:val="24"/>
              </w:rPr>
            </w:pPr>
            <w:r>
              <w:rPr>
                <w:rFonts w:hint="eastAsia" w:ascii="楷体" w:hAnsi="楷体" w:eastAsia="楷体" w:cs="Arial"/>
                <w:sz w:val="24"/>
                <w:szCs w:val="24"/>
              </w:rPr>
              <w:t>O6.1.2</w:t>
            </w:r>
          </w:p>
          <w:p>
            <w:pPr>
              <w:spacing w:line="360" w:lineRule="auto"/>
              <w:rPr>
                <w:rFonts w:ascii="楷体" w:hAnsi="楷体" w:eastAsia="楷体" w:cs="楷体"/>
                <w:sz w:val="24"/>
                <w:szCs w:val="24"/>
              </w:rPr>
            </w:pPr>
          </w:p>
        </w:tc>
        <w:tc>
          <w:tcPr>
            <w:tcW w:w="10606" w:type="dxa"/>
          </w:tcPr>
          <w:p>
            <w:pPr>
              <w:snapToGrid w:val="0"/>
              <w:spacing w:line="360" w:lineRule="auto"/>
              <w:ind w:firstLine="480" w:firstLineChars="200"/>
              <w:rPr>
                <w:rFonts w:ascii="楷体" w:hAnsi="楷体" w:eastAsia="楷体" w:cs="楷体"/>
                <w:bCs/>
                <w:sz w:val="24"/>
                <w:szCs w:val="24"/>
              </w:rPr>
            </w:pPr>
            <w:r>
              <w:rPr>
                <w:rFonts w:hint="eastAsia" w:ascii="楷体" w:hAnsi="楷体" w:eastAsia="楷体"/>
                <w:sz w:val="24"/>
                <w:szCs w:val="24"/>
              </w:rPr>
              <w:t>提供</w:t>
            </w:r>
            <w:r>
              <w:rPr>
                <w:rFonts w:hint="eastAsia" w:ascii="楷体" w:hAnsi="楷体" w:eastAsia="楷体" w:cs="宋体"/>
                <w:sz w:val="24"/>
                <w:szCs w:val="24"/>
              </w:rPr>
              <w:t>了</w:t>
            </w:r>
            <w:r>
              <w:rPr>
                <w:rFonts w:hint="eastAsia" w:ascii="楷体" w:hAnsi="楷体" w:eastAsia="楷体" w:cs="楷体"/>
                <w:sz w:val="24"/>
                <w:szCs w:val="24"/>
              </w:rPr>
              <w:t>环境因素和危险源识别评价与</w:t>
            </w:r>
            <w:r>
              <w:rPr>
                <w:rFonts w:hint="eastAsia" w:ascii="楷体" w:hAnsi="楷体" w:eastAsia="楷体" w:cs="楷体"/>
                <w:bCs/>
                <w:sz w:val="24"/>
                <w:szCs w:val="24"/>
              </w:rPr>
              <w:t>控制程序（</w:t>
            </w:r>
            <w:r>
              <w:rPr>
                <w:rFonts w:ascii="楷体" w:hAnsi="楷体" w:eastAsia="楷体" w:cs="楷体"/>
                <w:bCs/>
                <w:sz w:val="24"/>
                <w:szCs w:val="24"/>
              </w:rPr>
              <w:t>HZSY-CX01-2019</w:t>
            </w:r>
            <w:r>
              <w:rPr>
                <w:rFonts w:hint="eastAsia" w:ascii="楷体" w:hAnsi="楷体" w:eastAsia="楷体" w:cs="楷体"/>
                <w:bCs/>
                <w:sz w:val="24"/>
                <w:szCs w:val="24"/>
              </w:rPr>
              <w:t>），对环境因素、危险源的识别、评价结果、控制手段等做出了规定。</w:t>
            </w:r>
          </w:p>
          <w:p>
            <w:pPr>
              <w:spacing w:line="360" w:lineRule="auto"/>
              <w:ind w:firstLine="480" w:firstLineChars="200"/>
              <w:rPr>
                <w:rFonts w:ascii="楷体" w:hAnsi="楷体" w:eastAsia="楷体" w:cs="楷体"/>
                <w:sz w:val="24"/>
                <w:szCs w:val="24"/>
              </w:rPr>
            </w:pPr>
            <w:r>
              <w:rPr>
                <w:rFonts w:hint="eastAsia" w:ascii="楷体" w:hAnsi="楷体" w:eastAsia="楷体" w:cs="楷体"/>
                <w:bCs/>
                <w:sz w:val="24"/>
                <w:szCs w:val="24"/>
              </w:rPr>
              <w:t>行政部作为环境和职业健康安全管理体系的推进</w:t>
            </w:r>
            <w:r>
              <w:rPr>
                <w:rFonts w:hint="eastAsia" w:ascii="楷体" w:hAnsi="楷体" w:eastAsia="楷体" w:cs="楷体"/>
                <w:sz w:val="24"/>
                <w:szCs w:val="24"/>
              </w:rPr>
              <w:t>部门，主要统筹负责识别评价相关的环境因素及危险源。根据办公区、生产过程环节识别，由行政部汇总。</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查“职业安全健康管理体系危险源辨识、风险评价、风险控制一览表”，识别了办公、采购、生产、销售过程中的危险源。</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涉及行政部的危险源有空调操作不当，插座质量差漏电造成的触电，烟头未及时熄灭或直接扔到纸篓中造成火灾，接线板负荷过重造成的火灾等。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对识别出的危险源采取D=LEC进行评价，查到“重大危险源清单”，评价出重大危险源3个，包括：火灾、触电、机械伤害等。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经评价行政部的重大危险源：触电事故、火灾事故的发生。</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主要控制措施：危险源控制执行管理方案、配备消防器材、日常检查、日常培训教育、使用具有相关资质及考核合格的人员操作机器设备等运行控制措施等。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具体控制措施见EO8.1审核记录。</w:t>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trPr>
        <w:tc>
          <w:tcPr>
            <w:tcW w:w="1242" w:type="dxa"/>
          </w:tcPr>
          <w:p>
            <w:pPr>
              <w:spacing w:line="360" w:lineRule="auto"/>
              <w:rPr>
                <w:rFonts w:ascii="楷体" w:hAnsi="楷体" w:eastAsia="楷体" w:cs="宋体"/>
                <w:sz w:val="24"/>
                <w:szCs w:val="24"/>
              </w:rPr>
            </w:pPr>
            <w:r>
              <w:rPr>
                <w:rFonts w:hint="eastAsia" w:ascii="楷体" w:hAnsi="楷体" w:eastAsia="楷体" w:cs="Arial"/>
                <w:sz w:val="24"/>
                <w:szCs w:val="24"/>
              </w:rPr>
              <w:t>合规义务、</w:t>
            </w:r>
            <w:r>
              <w:rPr>
                <w:rFonts w:hint="eastAsia" w:ascii="楷体" w:hAnsi="楷体" w:eastAsia="楷体" w:cs="宋体"/>
                <w:sz w:val="24"/>
                <w:szCs w:val="24"/>
              </w:rPr>
              <w:t>法律法规和其他要求</w:t>
            </w:r>
          </w:p>
        </w:tc>
        <w:tc>
          <w:tcPr>
            <w:tcW w:w="1276" w:type="dxa"/>
            <w:vAlign w:val="center"/>
          </w:tcPr>
          <w:p>
            <w:pPr>
              <w:spacing w:line="360" w:lineRule="auto"/>
              <w:rPr>
                <w:rFonts w:ascii="楷体" w:hAnsi="楷体" w:eastAsia="楷体"/>
                <w:sz w:val="24"/>
                <w:szCs w:val="24"/>
              </w:rPr>
            </w:pPr>
            <w:r>
              <w:rPr>
                <w:rFonts w:hint="eastAsia" w:ascii="楷体" w:hAnsi="楷体" w:eastAsia="楷体" w:cs="宋体"/>
                <w:sz w:val="24"/>
                <w:szCs w:val="24"/>
              </w:rPr>
              <w:t>O</w:t>
            </w:r>
            <w:r>
              <w:rPr>
                <w:rFonts w:hint="eastAsia" w:ascii="楷体" w:hAnsi="楷体" w:eastAsia="楷体" w:cs="Arial"/>
                <w:sz w:val="24"/>
                <w:szCs w:val="24"/>
              </w:rPr>
              <w:t>6.1.3</w:t>
            </w:r>
          </w:p>
        </w:tc>
        <w:tc>
          <w:tcPr>
            <w:tcW w:w="10606" w:type="dxa"/>
            <w:vAlign w:val="center"/>
          </w:tcPr>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编制了《环境和职业健康安全法律法规控制程序</w:t>
            </w:r>
            <w:r>
              <w:rPr>
                <w:rFonts w:ascii="楷体" w:hAnsi="楷体" w:eastAsia="楷体" w:cs="宋体"/>
                <w:sz w:val="24"/>
                <w:szCs w:val="24"/>
              </w:rPr>
              <w:t>HZSY-CX02-2019</w:t>
            </w:r>
            <w:r>
              <w:rPr>
                <w:rFonts w:hint="eastAsia" w:ascii="楷体" w:hAnsi="楷体" w:eastAsia="楷体" w:cs="宋体"/>
                <w:sz w:val="24"/>
                <w:szCs w:val="24"/>
              </w:rPr>
              <w:t>》，对法律法规的识别更新和应用进行规定，行政部为主控部门。</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江西省环境污染防治条例》、《工厂安全卫生规程》《江西省安全生产条例》、《工伤保险条例》《中华人民共和国劳动合同法》《中华人民共和国突发事件应对法》《江西省生产安全事故报告和调查处理规定》等。</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已识别法律法规及其它要求的适用条款，并与环境因素、危险源相对应。</w:t>
            </w:r>
          </w:p>
          <w:p>
            <w:pPr>
              <w:snapToGrid w:val="0"/>
              <w:spacing w:line="360" w:lineRule="auto"/>
              <w:ind w:firstLine="480" w:firstLineChars="200"/>
              <w:rPr>
                <w:rFonts w:ascii="楷体" w:hAnsi="楷体" w:eastAsia="楷体"/>
                <w:sz w:val="24"/>
                <w:szCs w:val="24"/>
                <w:highlight w:val="yellow"/>
              </w:rPr>
            </w:pPr>
            <w:r>
              <w:rPr>
                <w:rFonts w:hint="eastAsia" w:ascii="楷体" w:hAnsi="楷体" w:eastAsia="楷体" w:cs="楷体"/>
                <w:sz w:val="24"/>
                <w:szCs w:val="24"/>
              </w:rPr>
              <w:t>公司法律、法规及其它要求都有现行文本，大部分为电子版本</w:t>
            </w:r>
            <w:r>
              <w:rPr>
                <w:rFonts w:hint="eastAsia" w:ascii="楷体" w:hAnsi="楷体" w:eastAsia="楷体" w:cs="宋体"/>
                <w:sz w:val="24"/>
                <w:szCs w:val="24"/>
              </w:rPr>
              <w:t>。各部门如有需要到行政部查阅。公司通过培训、会议等方式向有关员工传达法律、法规及其它要求的相关要求。</w:t>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sz w:val="24"/>
                <w:szCs w:val="24"/>
              </w:rPr>
              <w:t>措施的策划</w:t>
            </w:r>
          </w:p>
        </w:tc>
        <w:tc>
          <w:tcPr>
            <w:tcW w:w="1276" w:type="dxa"/>
            <w:vAlign w:val="center"/>
          </w:tcPr>
          <w:p>
            <w:pPr>
              <w:spacing w:line="360" w:lineRule="auto"/>
              <w:rPr>
                <w:rFonts w:ascii="楷体" w:hAnsi="楷体" w:eastAsia="楷体"/>
                <w:sz w:val="24"/>
                <w:szCs w:val="24"/>
              </w:rPr>
            </w:pPr>
            <w:r>
              <w:rPr>
                <w:rFonts w:hint="eastAsia" w:ascii="楷体" w:hAnsi="楷体" w:eastAsia="楷体"/>
                <w:sz w:val="24"/>
                <w:szCs w:val="24"/>
              </w:rPr>
              <w:t>O</w:t>
            </w:r>
            <w:r>
              <w:rPr>
                <w:rFonts w:ascii="楷体" w:hAnsi="楷体" w:eastAsia="楷体"/>
                <w:sz w:val="24"/>
                <w:szCs w:val="24"/>
              </w:rPr>
              <w:t>6.1.4</w:t>
            </w:r>
          </w:p>
        </w:tc>
        <w:tc>
          <w:tcPr>
            <w:tcW w:w="10606"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根据环境因素和危险源的风险辨识结果，分别制定出《重要环境因素清单》、《重大危险源清单》，清单内明确了控制措施计划，通过具体的措施进行有效控制：目标、管理方案、管理制度运行控制、应急预案、日常检查、日常培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每年对公司适用的合规义务进行识别更新并定期评价、检查。</w:t>
            </w:r>
          </w:p>
          <w:p>
            <w:pPr>
              <w:spacing w:line="360" w:lineRule="auto"/>
              <w:ind w:firstLine="480" w:firstLineChars="200"/>
              <w:rPr>
                <w:rFonts w:ascii="楷体" w:hAnsi="楷体" w:eastAsia="楷体"/>
                <w:sz w:val="24"/>
                <w:szCs w:val="24"/>
              </w:rPr>
            </w:pPr>
            <w:r>
              <w:rPr>
                <w:rFonts w:hint="eastAsia" w:ascii="楷体" w:hAnsi="楷体" w:eastAsia="楷体" w:cs="楷体"/>
                <w:sz w:val="24"/>
                <w:szCs w:val="24"/>
              </w:rPr>
              <w:t>经组织评价，组织策划的措施基本能够满足风险和机遇应对需要，能够与识别的风险和机遇对产品符合性的潜在影响相适应，基本满足标准要求</w:t>
            </w:r>
            <w:r>
              <w:rPr>
                <w:rFonts w:hint="eastAsia" w:ascii="楷体" w:hAnsi="楷体" w:eastAsia="楷体"/>
                <w:sz w:val="24"/>
                <w:szCs w:val="24"/>
              </w:rPr>
              <w:t>。</w:t>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1"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合规性评价</w:t>
            </w:r>
          </w:p>
        </w:tc>
        <w:tc>
          <w:tcPr>
            <w:tcW w:w="1276" w:type="dxa"/>
            <w:vAlign w:val="center"/>
          </w:tcPr>
          <w:p>
            <w:pPr>
              <w:spacing w:line="360" w:lineRule="auto"/>
              <w:rPr>
                <w:rFonts w:ascii="楷体" w:hAnsi="楷体" w:eastAsia="楷体" w:cs="楷体"/>
                <w:bCs/>
                <w:sz w:val="24"/>
                <w:szCs w:val="24"/>
              </w:rPr>
            </w:pPr>
            <w:r>
              <w:rPr>
                <w:rFonts w:hint="eastAsia" w:ascii="楷体" w:hAnsi="楷体" w:eastAsia="楷体" w:cs="Arial"/>
                <w:sz w:val="24"/>
                <w:szCs w:val="24"/>
              </w:rPr>
              <w:t>O9.1.2</w:t>
            </w:r>
          </w:p>
        </w:tc>
        <w:tc>
          <w:tcPr>
            <w:tcW w:w="10606" w:type="dxa"/>
            <w:vAlign w:val="center"/>
          </w:tcPr>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编制了《合规性评价控制程序</w:t>
            </w:r>
            <w:r>
              <w:rPr>
                <w:rFonts w:ascii="楷体" w:hAnsi="楷体" w:eastAsia="楷体" w:cs="宋体"/>
                <w:sz w:val="24"/>
                <w:szCs w:val="24"/>
              </w:rPr>
              <w:t>HZSY-CX21-2019</w:t>
            </w:r>
            <w:r>
              <w:rPr>
                <w:rFonts w:hint="eastAsia" w:ascii="楷体" w:hAnsi="楷体" w:eastAsia="楷体" w:cs="宋体"/>
                <w:sz w:val="24"/>
                <w:szCs w:val="24"/>
              </w:rPr>
              <w:t>》，其中规定了对本公司法规及其他要求的合规性评价的要求。</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提供了《合规性评价报告》、《合规性评价综述》,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评价人：杨克勤、杨科、顾克彪、吕菊平</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评价日期：2019年6月18日。</w:t>
            </w:r>
          </w:p>
          <w:p>
            <w:pPr>
              <w:spacing w:line="360" w:lineRule="auto"/>
              <w:ind w:firstLine="480" w:firstLineChars="200"/>
              <w:rPr>
                <w:rFonts w:ascii="楷体" w:hAnsi="楷体" w:eastAsia="楷体" w:cs="楷体"/>
                <w:sz w:val="24"/>
                <w:szCs w:val="24"/>
              </w:rPr>
            </w:pPr>
            <w:r>
              <w:rPr>
                <w:rFonts w:hint="eastAsia" w:ascii="楷体" w:hAnsi="楷体" w:eastAsia="楷体" w:cs="宋体"/>
                <w:sz w:val="24"/>
                <w:szCs w:val="24"/>
              </w:rPr>
              <w:t>部门已对有关法规及其他要求进行识别、评价，满足要求。</w:t>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楷体"/>
                <w:sz w:val="24"/>
                <w:szCs w:val="24"/>
              </w:rPr>
              <w:t>监视、测量、分析和评价</w:t>
            </w:r>
          </w:p>
        </w:tc>
        <w:tc>
          <w:tcPr>
            <w:tcW w:w="1276" w:type="dxa"/>
            <w:vAlign w:val="center"/>
          </w:tcPr>
          <w:p>
            <w:pPr>
              <w:tabs>
                <w:tab w:val="left" w:pos="6597"/>
              </w:tabs>
              <w:spacing w:line="360" w:lineRule="auto"/>
              <w:rPr>
                <w:rFonts w:ascii="楷体" w:hAnsi="楷体" w:eastAsia="楷体" w:cs="楷体"/>
                <w:sz w:val="24"/>
                <w:szCs w:val="24"/>
              </w:rPr>
            </w:pPr>
            <w:r>
              <w:rPr>
                <w:rFonts w:hint="eastAsia" w:ascii="楷体" w:hAnsi="楷体" w:eastAsia="楷体" w:cs="楷体"/>
                <w:sz w:val="24"/>
                <w:szCs w:val="24"/>
              </w:rPr>
              <w:t>O9.1.1</w:t>
            </w:r>
          </w:p>
        </w:tc>
        <w:tc>
          <w:tcPr>
            <w:tcW w:w="10606" w:type="dxa"/>
            <w:vAlign w:val="center"/>
          </w:tcPr>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查到2019年12月29日“目标考核表”，检查考核已完成，考核人杨克勤；2020年度由于疫情影响公司三月刚上班，目标暂未考核，预计6月前完成；</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查到《环境、安全检查记录》，检查项目内容涉及：</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设备保养、设备运转情况、生产/办公/生活区域卫生垃圾处理，废料处理、物料摆放情况；办公区域是否安全用电；消防设施是否完好；消防通道是否畅通；</w:t>
            </w:r>
            <w:r>
              <w:rPr>
                <w:rFonts w:ascii="楷体" w:hAnsi="楷体" w:eastAsia="楷体" w:cs="宋体"/>
                <w:sz w:val="24"/>
                <w:szCs w:val="24"/>
              </w:rPr>
              <w:t>消防设施是否定期进行点检；</w:t>
            </w:r>
            <w:r>
              <w:rPr>
                <w:rFonts w:hint="eastAsia" w:ascii="楷体" w:hAnsi="楷体" w:eastAsia="楷体" w:cs="宋体"/>
                <w:sz w:val="24"/>
                <w:szCs w:val="24"/>
              </w:rPr>
              <w:t>人员是否按规定穿戴防护用品；能源资源消耗是否符合要求等。</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抽查2019.5.28、2019.9.27日、2019.11.20、2019.12.27、2020.3.19日检查结果均正常，检查人杨振鹤。</w:t>
            </w:r>
          </w:p>
          <w:p>
            <w:pPr>
              <w:snapToGrid w:val="0"/>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未有上级主管部门的监督检查。</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公司经营能遵守相关的法律法规，没有违反环境、职业健康安全法律法规现象，近期没有发生环境与职业健康安全的事故。</w:t>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运行策划和控制</w:t>
            </w:r>
          </w:p>
        </w:tc>
        <w:tc>
          <w:tcPr>
            <w:tcW w:w="1276" w:type="dxa"/>
            <w:vAlign w:val="center"/>
          </w:tcPr>
          <w:p>
            <w:pPr>
              <w:spacing w:line="360" w:lineRule="auto"/>
              <w:rPr>
                <w:rFonts w:ascii="楷体" w:hAnsi="楷体" w:eastAsia="楷体" w:cs="楷体"/>
                <w:sz w:val="24"/>
                <w:szCs w:val="24"/>
              </w:rPr>
            </w:pPr>
            <w:r>
              <w:rPr>
                <w:rFonts w:hint="eastAsia" w:ascii="楷体" w:hAnsi="楷体" w:eastAsia="楷体" w:cs="楷体"/>
                <w:bCs/>
                <w:sz w:val="24"/>
                <w:szCs w:val="24"/>
              </w:rPr>
              <w:t>O</w:t>
            </w:r>
            <w:r>
              <w:rPr>
                <w:rFonts w:hint="eastAsia" w:ascii="楷体" w:hAnsi="楷体" w:eastAsia="楷体" w:cs="Arial"/>
                <w:sz w:val="24"/>
                <w:szCs w:val="24"/>
              </w:rPr>
              <w:t>8.1</w:t>
            </w:r>
          </w:p>
          <w:p>
            <w:pPr>
              <w:spacing w:line="360" w:lineRule="auto"/>
              <w:rPr>
                <w:rFonts w:ascii="楷体" w:hAnsi="楷体" w:eastAsia="楷体" w:cs="楷体"/>
                <w:sz w:val="24"/>
                <w:szCs w:val="24"/>
              </w:rPr>
            </w:pPr>
          </w:p>
        </w:tc>
        <w:tc>
          <w:tcPr>
            <w:tcW w:w="10606" w:type="dxa"/>
            <w:vAlign w:val="center"/>
          </w:tcPr>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制定并实施了运行控制程序、废弃物控制程序、噪声控制程序、消防控制程序、资源能源控制程序、安全防火规程、员工职业健康及劳动保护管理规定、办公用品管理规定、节约用水管理规定、垃圾管理规定、固体废弃物管理规定、应急预案等环境与职业健康安全控制程序和管理制度。</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企业位于江西省樟树市城北工业园，公司四周是其他企业，无重大敏感区，根据体系运行的需要设置了生产区、办公区。</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行政部定期组织环保和安全知识培训，员工具备了基本的环保和职业健康安全防护意识，见7.3条款审核记录。</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按公司要求人走关灯，行政部电脑要求人走后电源切断。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办公内主要是电的使用，电器有漏电保护器，经常对电路、电源进行检查，没有露电现象发生。</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行政部垃圾主要包含可回收垃圾、硒鼓、废纸。公司配置了垃圾箱，行政部统一处理。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对可回收的固体废弃物，一部分由厂家回收，厂家不回收的公司统一回收再利用或由物资回收公司处理。不可回收的废弃物由所租赁的用友办公大楼物业统一处理，公司缴纳物业管理费。</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为满足环境和职业健康安全体系的运行，公司投入了环保及安全资金，主要是安全教育培训、劳保用品、社保等，运行至今支出3万余元。</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办公纸张尽量采取双面打印，人走灯灭，定期检查水管跑冒滴漏。</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视频远程查看现场办公区域配备了灭火器等消防设施，状况正常。</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于2020年度此次新型冠状病毒感染的肺炎疫情防控事宜，公司有对外来人员和本地人员进行分类管理，都进行人员出入登记，量体温，戴口罩是否武汉来厂人员等。提供了2020年3月份《复工企业外来人员健康管理卡》和《复工企业人员健康管理卡》，记录了出入体温、咳嗽等内容，按要求基本做好了控制。</w:t>
            </w:r>
          </w:p>
          <w:p>
            <w:pPr>
              <w:spacing w:line="360" w:lineRule="auto"/>
              <w:ind w:firstLine="480" w:firstLineChars="200"/>
              <w:rPr>
                <w:rFonts w:ascii="楷体" w:hAnsi="楷体" w:eastAsia="楷体" w:cs="楷体"/>
                <w:sz w:val="24"/>
                <w:szCs w:val="24"/>
              </w:rPr>
            </w:pPr>
            <w:r>
              <w:rPr>
                <w:rFonts w:ascii="楷体" w:hAnsi="楷体" w:eastAsia="楷体" w:cs="楷体"/>
                <w:sz w:val="24"/>
                <w:szCs w:val="24"/>
              </w:rPr>
              <w:drawing>
                <wp:inline distT="0" distB="0" distL="0" distR="0">
                  <wp:extent cx="5940425" cy="1543050"/>
                  <wp:effectExtent l="19050" t="0" r="2859"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7"/>
                          <a:srcRect/>
                          <a:stretch>
                            <a:fillRect/>
                          </a:stretch>
                        </pic:blipFill>
                        <pic:spPr>
                          <a:xfrm>
                            <a:off x="0" y="0"/>
                            <a:ext cx="5940741" cy="1543050"/>
                          </a:xfrm>
                          <a:prstGeom prst="rect">
                            <a:avLst/>
                          </a:prstGeom>
                          <a:noFill/>
                          <a:ln w="9525">
                            <a:noFill/>
                            <a:miter lim="800000"/>
                            <a:headEnd/>
                            <a:tailEnd/>
                          </a:ln>
                        </pic:spPr>
                      </pic:pic>
                    </a:graphicData>
                  </a:graphic>
                </wp:inline>
              </w:drawing>
            </w:r>
          </w:p>
          <w:p>
            <w:pPr>
              <w:spacing w:line="360" w:lineRule="auto"/>
              <w:ind w:firstLine="480" w:firstLineChars="200"/>
              <w:rPr>
                <w:rFonts w:ascii="楷体" w:hAnsi="楷体" w:eastAsia="楷体" w:cs="楷体"/>
                <w:sz w:val="24"/>
                <w:szCs w:val="24"/>
              </w:rPr>
            </w:pPr>
            <w:r>
              <w:rPr>
                <w:rFonts w:ascii="楷体" w:hAnsi="楷体" w:eastAsia="楷体" w:cs="楷体"/>
                <w:sz w:val="24"/>
                <w:szCs w:val="24"/>
              </w:rPr>
              <w:drawing>
                <wp:inline distT="0" distB="0" distL="0" distR="0">
                  <wp:extent cx="3495675" cy="2633345"/>
                  <wp:effectExtent l="19050" t="0" r="9525"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8"/>
                          <a:srcRect/>
                          <a:stretch>
                            <a:fillRect/>
                          </a:stretch>
                        </pic:blipFill>
                        <pic:spPr>
                          <a:xfrm>
                            <a:off x="0" y="0"/>
                            <a:ext cx="3495675" cy="2633918"/>
                          </a:xfrm>
                          <a:prstGeom prst="rect">
                            <a:avLst/>
                          </a:prstGeom>
                          <a:noFill/>
                          <a:ln w="9525">
                            <a:noFill/>
                            <a:miter lim="800000"/>
                            <a:headEnd/>
                            <a:tailEnd/>
                          </a:ln>
                        </pic:spPr>
                      </pic:pic>
                    </a:graphicData>
                  </a:graphic>
                </wp:inline>
              </w:drawing>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部门运行控制基本符合要求。</w:t>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rPr>
                <w:rFonts w:ascii="楷体" w:hAnsi="楷体" w:eastAsia="楷体"/>
                <w:sz w:val="24"/>
                <w:szCs w:val="24"/>
              </w:rPr>
            </w:pPr>
            <w:r>
              <w:rPr>
                <w:rFonts w:hint="eastAsia" w:ascii="楷体" w:hAnsi="楷体" w:eastAsia="楷体" w:cs="Arial"/>
                <w:sz w:val="24"/>
                <w:szCs w:val="24"/>
              </w:rPr>
              <w:t>应急准备和响应</w:t>
            </w:r>
          </w:p>
        </w:tc>
        <w:tc>
          <w:tcPr>
            <w:tcW w:w="1276" w:type="dxa"/>
          </w:tcPr>
          <w:p>
            <w:pPr>
              <w:spacing w:line="360" w:lineRule="auto"/>
              <w:rPr>
                <w:rFonts w:ascii="楷体" w:hAnsi="楷体" w:eastAsia="楷体" w:cs="楷体"/>
                <w:bCs/>
                <w:sz w:val="24"/>
                <w:szCs w:val="24"/>
              </w:rPr>
            </w:pPr>
            <w:r>
              <w:rPr>
                <w:rFonts w:hint="eastAsia" w:ascii="楷体" w:hAnsi="楷体" w:eastAsia="楷体" w:cs="Arial"/>
                <w:sz w:val="24"/>
                <w:szCs w:val="24"/>
              </w:rPr>
              <w:t>O8.2</w:t>
            </w:r>
          </w:p>
          <w:p>
            <w:pPr>
              <w:spacing w:line="360" w:lineRule="auto"/>
              <w:rPr>
                <w:rFonts w:ascii="楷体" w:hAnsi="楷体" w:eastAsia="楷体" w:cs="楷体"/>
                <w:bCs/>
                <w:sz w:val="24"/>
                <w:szCs w:val="24"/>
              </w:rPr>
            </w:pPr>
          </w:p>
          <w:p>
            <w:pPr>
              <w:spacing w:line="360" w:lineRule="auto"/>
              <w:rPr>
                <w:rFonts w:ascii="楷体" w:hAnsi="楷体" w:eastAsia="楷体" w:cs="楷体"/>
                <w:bCs/>
                <w:sz w:val="24"/>
                <w:szCs w:val="24"/>
              </w:rPr>
            </w:pPr>
          </w:p>
        </w:tc>
        <w:tc>
          <w:tcPr>
            <w:tcW w:w="10606" w:type="dxa"/>
          </w:tcPr>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编制了《应急准备和响应控制程序</w:t>
            </w:r>
            <w:r>
              <w:rPr>
                <w:rFonts w:ascii="楷体" w:hAnsi="楷体" w:eastAsia="楷体" w:cs="楷体"/>
                <w:sz w:val="24"/>
                <w:szCs w:val="24"/>
              </w:rPr>
              <w:t>HZSY-CX14-2019</w:t>
            </w:r>
            <w:r>
              <w:rPr>
                <w:rFonts w:hint="eastAsia" w:ascii="楷体" w:hAnsi="楷体" w:eastAsia="楷体" w:cs="楷体"/>
                <w:sz w:val="24"/>
                <w:szCs w:val="24"/>
              </w:rPr>
              <w:t>》，确定的紧急情况有：火灾、触电等。提供了消防安全应急预案、触电事故应急预案、、新型冠状病毒感染的肺炎企业疫情防控应急预案，其中包括目的、适用范围、职责、应急处理细则、演习、必备资料等，相关内容基本充分。</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应急设施配置：在办公场所内、生产区域内均配备了灭火器等消防设施，口罩、消毒水、体温计、手套等防护用品，均在有效期内，状态良好。</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2019.12.11日的《消防安全应急演练记录》，参加人员各岗位人员；记录演练过程、急救措施等内容。总结：在现场演练过程中参加演练的人员都给予了充分的重视，在演练过程中能够听从应急领导小组的指挥，通过应急演练使应急组织成员能够实地的实习应急处理程序过程，为应急组织成员掌握应急处理程序在出现突发事件时有效的组织应急响应活动减少因此造成的人员、财产损失打下良好的基础。同时现场工作人员经过演练掌握了出现突发火灾事件时应如何按应急组织程序要求进行应急处理和有效的撤离和自身防护知识。</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预案适宜性充分性评审：适宜性：全部能够执行；充分性：完全满足应急要求。</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再查2019.10.17日的《触电应急救援预案演练记录》，情况基本同上。</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视频远程现场巡视办公区有灭火器和消防栓，均有效。</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自体系运行以来尚未发生紧急情况。</w:t>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内部审核</w:t>
            </w:r>
          </w:p>
        </w:tc>
        <w:tc>
          <w:tcPr>
            <w:tcW w:w="1276" w:type="dxa"/>
          </w:tcPr>
          <w:p>
            <w:pPr>
              <w:spacing w:line="360" w:lineRule="auto"/>
              <w:rPr>
                <w:rFonts w:ascii="楷体" w:hAnsi="楷体" w:eastAsia="楷体" w:cs="Arial"/>
                <w:sz w:val="24"/>
                <w:szCs w:val="24"/>
              </w:rPr>
            </w:pPr>
            <w:r>
              <w:rPr>
                <w:rFonts w:hint="eastAsia" w:ascii="楷体" w:hAnsi="楷体" w:eastAsia="楷体" w:cs="Arial"/>
                <w:sz w:val="24"/>
                <w:szCs w:val="24"/>
              </w:rPr>
              <w:t>O9.2</w:t>
            </w:r>
          </w:p>
        </w:tc>
        <w:tc>
          <w:tcPr>
            <w:tcW w:w="10606" w:type="dxa"/>
          </w:tcPr>
          <w:p>
            <w:pPr>
              <w:spacing w:line="360" w:lineRule="auto"/>
              <w:ind w:firstLine="480" w:firstLineChars="200"/>
              <w:rPr>
                <w:rFonts w:ascii="楷体" w:hAnsi="楷体" w:eastAsia="楷体" w:cs="楷体"/>
                <w:sz w:val="24"/>
                <w:szCs w:val="24"/>
              </w:rPr>
            </w:pPr>
            <w:r>
              <w:rPr>
                <w:rFonts w:hint="eastAsia" w:ascii="楷体" w:hAnsi="楷体" w:eastAsia="楷体"/>
                <w:sz w:val="24"/>
                <w:szCs w:val="24"/>
              </w:rPr>
              <w:t>由组</w:t>
            </w:r>
            <w:r>
              <w:rPr>
                <w:rFonts w:hint="eastAsia" w:ascii="楷体" w:hAnsi="楷体" w:eastAsia="楷体" w:cs="楷体"/>
                <w:sz w:val="24"/>
                <w:szCs w:val="24"/>
              </w:rPr>
              <w:t>长饶念组织内部审核，查年度审核计划：提供《内部审核计划》，其内容已包括了审核目的、范围、依据。</w:t>
            </w:r>
          </w:p>
          <w:p>
            <w:pPr>
              <w:spacing w:line="360" w:lineRule="auto"/>
              <w:ind w:left="456" w:hanging="456" w:hangingChars="190"/>
              <w:rPr>
                <w:rFonts w:ascii="楷体" w:hAnsi="楷体" w:eastAsia="楷体" w:cs="楷体"/>
                <w:sz w:val="24"/>
                <w:szCs w:val="24"/>
              </w:rPr>
            </w:pPr>
            <w:r>
              <w:rPr>
                <w:rFonts w:hint="eastAsia" w:ascii="楷体" w:hAnsi="楷体" w:eastAsia="楷体" w:cs="楷体"/>
                <w:sz w:val="24"/>
                <w:szCs w:val="24"/>
              </w:rPr>
              <w:t>审核组构成：组长：杨克勤 组员：顾克彪；</w:t>
            </w:r>
          </w:p>
          <w:p>
            <w:pPr>
              <w:spacing w:line="360" w:lineRule="auto"/>
              <w:rPr>
                <w:rFonts w:ascii="楷体" w:hAnsi="楷体" w:eastAsia="楷体"/>
                <w:sz w:val="24"/>
                <w:szCs w:val="24"/>
              </w:rPr>
            </w:pPr>
            <w:r>
              <w:rPr>
                <w:rFonts w:hint="eastAsia" w:ascii="楷体" w:hAnsi="楷体" w:eastAsia="楷体"/>
                <w:sz w:val="24"/>
                <w:szCs w:val="24"/>
              </w:rPr>
              <w:t>1. 审核时间2019年9月25-26日，</w:t>
            </w:r>
          </w:p>
          <w:p>
            <w:pPr>
              <w:spacing w:line="360" w:lineRule="auto"/>
              <w:rPr>
                <w:rFonts w:ascii="楷体" w:hAnsi="楷体" w:eastAsia="楷体"/>
                <w:sz w:val="24"/>
                <w:szCs w:val="24"/>
              </w:rPr>
            </w:pPr>
            <w:r>
              <w:rPr>
                <w:rFonts w:hint="eastAsia" w:ascii="楷体" w:hAnsi="楷体" w:eastAsia="楷体"/>
                <w:sz w:val="24"/>
                <w:szCs w:val="24"/>
              </w:rPr>
              <w:t>2.审核按计划进行，抽查检查表行政部、销售部、采购部、生产部审核记录与计划相一致，内审员经内部培训合格，能力还需加强；</w:t>
            </w:r>
          </w:p>
          <w:p>
            <w:pPr>
              <w:spacing w:line="360" w:lineRule="auto"/>
              <w:rPr>
                <w:rFonts w:ascii="楷体" w:hAnsi="楷体" w:eastAsia="楷体"/>
                <w:sz w:val="24"/>
                <w:szCs w:val="24"/>
              </w:rPr>
            </w:pPr>
            <w:r>
              <w:rPr>
                <w:rFonts w:hint="eastAsia" w:ascii="楷体" w:hAnsi="楷体" w:eastAsia="楷体"/>
                <w:sz w:val="24"/>
                <w:szCs w:val="24"/>
              </w:rPr>
              <w:t>审核计划已考虑到互查的公正性，无审核员审核本部门的工作，计划内容涉及各部门，条款覆盖整个体系。本次内审发现2个一般不符合项（行政部有2处灭火器无检查记录；车间有两名工人未戴口罩作业），针对不合格，责任部门已分析了原因并采取了纠正措施，按要求进行了整改，最后内审员进行了验证，纠正措施实施有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内部审核结论：提供了《内部审核报告》，对现场审核进行了综述，对质量环境安全管理体系进行了符合性的综合评价，最后结论为：本次内审在各部门的支持和配合下，内审组能够较系统地对公司进行检查，认为公司三体系运行基本良好，运行达到一定的效果，基本符合ISO9001:2015；ISO14001:2015；ISO45001:2018标准的要求，但仍存在不足，各部门应举一反三，对类似问题予以整改。</w:t>
            </w:r>
            <w:bookmarkStart w:id="0" w:name="_GoBack"/>
            <w:bookmarkEnd w:id="0"/>
          </w:p>
          <w:p>
            <w:pPr>
              <w:spacing w:line="360" w:lineRule="auto"/>
              <w:ind w:firstLine="480" w:firstLineChars="200"/>
              <w:rPr>
                <w:rFonts w:ascii="楷体" w:hAnsi="楷体" w:eastAsia="楷体"/>
                <w:sz w:val="24"/>
                <w:szCs w:val="24"/>
              </w:rPr>
            </w:pPr>
          </w:p>
          <w:p>
            <w:pPr>
              <w:spacing w:line="360" w:lineRule="auto"/>
              <w:ind w:firstLine="480" w:firstLineChars="200"/>
              <w:rPr>
                <w:rFonts w:ascii="楷体" w:hAnsi="楷体" w:eastAsia="楷体"/>
                <w:sz w:val="24"/>
                <w:szCs w:val="24"/>
                <w:highlight w:val="yellow"/>
              </w:rPr>
            </w:pPr>
            <w:r>
              <w:rPr>
                <w:rFonts w:ascii="楷体" w:hAnsi="楷体" w:eastAsia="楷体"/>
                <w:sz w:val="24"/>
                <w:szCs w:val="24"/>
              </w:rPr>
              <w:drawing>
                <wp:inline distT="0" distB="0" distL="0" distR="0">
                  <wp:extent cx="2686050" cy="1952625"/>
                  <wp:effectExtent l="0" t="0" r="635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a:srcRect/>
                          <a:stretch>
                            <a:fillRect/>
                          </a:stretch>
                        </pic:blipFill>
                        <pic:spPr>
                          <a:xfrm>
                            <a:off x="0" y="0"/>
                            <a:ext cx="2686050" cy="1952625"/>
                          </a:xfrm>
                          <a:prstGeom prst="rect">
                            <a:avLst/>
                          </a:prstGeom>
                          <a:noFill/>
                          <a:ln w="9525">
                            <a:noFill/>
                            <a:miter lim="800000"/>
                            <a:headEnd/>
                            <a:tailEnd/>
                          </a:ln>
                        </pic:spPr>
                      </pic:pic>
                    </a:graphicData>
                  </a:graphic>
                </wp:inline>
              </w:drawing>
            </w:r>
            <w:r>
              <w:rPr>
                <w:rFonts w:ascii="楷体" w:hAnsi="楷体" w:eastAsia="楷体"/>
                <w:sz w:val="24"/>
                <w:szCs w:val="24"/>
              </w:rPr>
              <w:drawing>
                <wp:inline distT="0" distB="0" distL="0" distR="0">
                  <wp:extent cx="2905125" cy="2009775"/>
                  <wp:effectExtent l="19050" t="0" r="952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0" cstate="print"/>
                          <a:srcRect/>
                          <a:stretch>
                            <a:fillRect/>
                          </a:stretch>
                        </pic:blipFill>
                        <pic:spPr>
                          <a:xfrm>
                            <a:off x="0" y="0"/>
                            <a:ext cx="2905125" cy="2009775"/>
                          </a:xfrm>
                          <a:prstGeom prst="rect">
                            <a:avLst/>
                          </a:prstGeom>
                          <a:noFill/>
                          <a:ln w="9525">
                            <a:noFill/>
                            <a:miter lim="800000"/>
                            <a:headEnd/>
                            <a:tailEnd/>
                          </a:ln>
                        </pic:spPr>
                      </pic:pic>
                    </a:graphicData>
                  </a:graphic>
                </wp:inline>
              </w:drawing>
            </w:r>
          </w:p>
        </w:tc>
        <w:tc>
          <w:tcPr>
            <w:tcW w:w="1585" w:type="dxa"/>
          </w:tcPr>
          <w:p>
            <w:pPr>
              <w:spacing w:line="360" w:lineRule="auto"/>
              <w:rPr>
                <w:rFonts w:ascii="楷体" w:hAnsi="楷体" w:eastAsia="楷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宋体"/>
                <w:sz w:val="24"/>
                <w:szCs w:val="24"/>
              </w:rPr>
              <w:t>不合格和纠正措施</w:t>
            </w:r>
          </w:p>
        </w:tc>
        <w:tc>
          <w:tcPr>
            <w:tcW w:w="1276" w:type="dxa"/>
          </w:tcPr>
          <w:p>
            <w:pPr>
              <w:spacing w:line="360" w:lineRule="auto"/>
              <w:rPr>
                <w:rFonts w:ascii="楷体" w:hAnsi="楷体" w:eastAsia="楷体" w:cs="Arial"/>
                <w:sz w:val="24"/>
                <w:szCs w:val="24"/>
              </w:rPr>
            </w:pPr>
            <w:r>
              <w:rPr>
                <w:rFonts w:hint="eastAsia" w:ascii="楷体" w:hAnsi="楷体" w:eastAsia="楷体" w:cs="宋体"/>
                <w:sz w:val="24"/>
                <w:szCs w:val="24"/>
              </w:rPr>
              <w:t>O10.2</w:t>
            </w:r>
          </w:p>
          <w:p>
            <w:pPr>
              <w:spacing w:line="360" w:lineRule="auto"/>
              <w:rPr>
                <w:rFonts w:ascii="楷体" w:hAnsi="楷体" w:eastAsia="楷体" w:cs="Arial"/>
                <w:sz w:val="24"/>
                <w:szCs w:val="24"/>
              </w:rPr>
            </w:pPr>
          </w:p>
        </w:tc>
        <w:tc>
          <w:tcPr>
            <w:tcW w:w="1060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保持实施《不符合、纠正和预防措施控制程序</w:t>
            </w:r>
            <w:r>
              <w:rPr>
                <w:rFonts w:ascii="楷体" w:hAnsi="楷体" w:eastAsia="楷体" w:cs="宋体"/>
                <w:sz w:val="24"/>
                <w:szCs w:val="24"/>
              </w:rPr>
              <w:t>HZSY-CX16-2019</w:t>
            </w:r>
            <w:r>
              <w:rPr>
                <w:rFonts w:hint="eastAsia" w:ascii="楷体" w:hAnsi="楷体" w:eastAsia="楷体" w:cs="宋体"/>
                <w:sz w:val="24"/>
                <w:szCs w:val="24"/>
              </w:rPr>
              <w:t>》、《事故调查处理控制程序</w:t>
            </w:r>
            <w:r>
              <w:rPr>
                <w:rFonts w:ascii="楷体" w:hAnsi="楷体" w:eastAsia="楷体" w:cs="宋体"/>
                <w:sz w:val="24"/>
                <w:szCs w:val="24"/>
              </w:rPr>
              <w:t>HZSY-CX17-2019</w:t>
            </w:r>
            <w:r>
              <w:rPr>
                <w:rFonts w:hint="eastAsia" w:ascii="楷体" w:hAnsi="楷体" w:eastAsia="楷体" w:cs="宋体"/>
                <w:sz w:val="24"/>
                <w:szCs w:val="24"/>
              </w:rPr>
              <w:t>》，对纠正预防措施识别、评审、验证，事故事件报告、调查、处理等作了规定，其内容符合组织实际及标准要求。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对内审中提出不合格项进行了原因分析,并制定、实施了纠正措施，并由内审员对所采取的纠正措施进行了验证，纠正措施有效，管理评审中发现的薄弱环节，分析了原因，采取了纠正措施（参见内审和管理评审审核记录）。</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cs="宋体"/>
                <w:sz w:val="24"/>
                <w:szCs w:val="24"/>
              </w:rPr>
              <w:t>企业不合格和纠正措施的管理符合标准规定要求。</w:t>
            </w:r>
          </w:p>
        </w:tc>
        <w:tc>
          <w:tcPr>
            <w:tcW w:w="1585" w:type="dxa"/>
          </w:tcPr>
          <w:p>
            <w:pPr>
              <w:spacing w:line="360" w:lineRule="auto"/>
              <w:rPr>
                <w:rFonts w:ascii="楷体" w:hAnsi="楷体" w:eastAsia="楷体"/>
                <w:sz w:val="24"/>
                <w:szCs w:val="24"/>
                <w:highlight w:val="yellow"/>
              </w:rPr>
            </w:pPr>
          </w:p>
        </w:tc>
      </w:tr>
    </w:tbl>
    <w:p>
      <w:pPr>
        <w:rPr>
          <w:rFonts w:ascii="楷体" w:hAnsi="楷体" w:eastAsia="楷体"/>
        </w:rPr>
      </w:pPr>
      <w:r>
        <w:rPr>
          <w:rFonts w:ascii="楷体" w:hAnsi="楷体" w:eastAsia="楷体"/>
        </w:rPr>
        <w:ptab w:relativeTo="margin" w:alignment="center" w:leader="none"/>
      </w:r>
    </w:p>
    <w:p>
      <w:pPr>
        <w:rPr>
          <w:rFonts w:ascii="楷体" w:hAnsi="楷体" w:eastAsia="楷体"/>
        </w:rPr>
      </w:pPr>
    </w:p>
    <w:p>
      <w:pPr>
        <w:pStyle w:val="7"/>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Book Antiqua">
    <w:altName w:val="Segoe Print"/>
    <w:panose1 w:val="02040602050305030304"/>
    <w:charset w:val="00"/>
    <w:family w:val="roman"/>
    <w:pitch w:val="default"/>
    <w:sig w:usb0="00000000" w:usb1="00000000" w:usb2="00000000" w:usb3="00000000" w:csb0="000000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17</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18</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1"/>
      </w:pBdr>
      <w:spacing w:line="320" w:lineRule="exact"/>
      <w:jc w:val="left"/>
    </w:pPr>
    <w:r>
      <w:pict>
        <v:shape id="文本框 1" o:spid="_x0000_s2050"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ISC-B-II-31管理体系审核记录表(03版)</w:t>
                </w:r>
              </w:p>
            </w:txbxContent>
          </v:textbox>
        </v:shape>
      </w:pict>
    </w:r>
    <w:r>
      <w:rPr>
        <w:rStyle w:val="16"/>
        <w:rFonts w:hint="default"/>
        <w:w w:val="90"/>
      </w:rPr>
      <w:t>Beijing International Standard united Certification Co.,Ltd.</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05351"/>
    <w:rsid w:val="000146B2"/>
    <w:rsid w:val="00014A12"/>
    <w:rsid w:val="000214B6"/>
    <w:rsid w:val="00023EF2"/>
    <w:rsid w:val="00024498"/>
    <w:rsid w:val="0002531E"/>
    <w:rsid w:val="000277D0"/>
    <w:rsid w:val="0003138C"/>
    <w:rsid w:val="000313D2"/>
    <w:rsid w:val="0003373A"/>
    <w:rsid w:val="00035EE6"/>
    <w:rsid w:val="00035FB9"/>
    <w:rsid w:val="00037127"/>
    <w:rsid w:val="000412F6"/>
    <w:rsid w:val="0005199E"/>
    <w:rsid w:val="00052202"/>
    <w:rsid w:val="00053F56"/>
    <w:rsid w:val="0005697E"/>
    <w:rsid w:val="000579CF"/>
    <w:rsid w:val="00060270"/>
    <w:rsid w:val="00061F6E"/>
    <w:rsid w:val="000676FD"/>
    <w:rsid w:val="00074F39"/>
    <w:rsid w:val="00082216"/>
    <w:rsid w:val="00082398"/>
    <w:rsid w:val="000849D2"/>
    <w:rsid w:val="00084DAD"/>
    <w:rsid w:val="000870FB"/>
    <w:rsid w:val="00094791"/>
    <w:rsid w:val="000A067A"/>
    <w:rsid w:val="000A30F9"/>
    <w:rsid w:val="000A5E44"/>
    <w:rsid w:val="000B1394"/>
    <w:rsid w:val="000B2F9B"/>
    <w:rsid w:val="000B40BD"/>
    <w:rsid w:val="000B69C3"/>
    <w:rsid w:val="000B6EAD"/>
    <w:rsid w:val="000C123B"/>
    <w:rsid w:val="000C23FE"/>
    <w:rsid w:val="000C2D5B"/>
    <w:rsid w:val="000D4F09"/>
    <w:rsid w:val="000D5401"/>
    <w:rsid w:val="000D697A"/>
    <w:rsid w:val="000D7C2E"/>
    <w:rsid w:val="000E2B69"/>
    <w:rsid w:val="000E355F"/>
    <w:rsid w:val="000E4402"/>
    <w:rsid w:val="000E6907"/>
    <w:rsid w:val="000E7EF7"/>
    <w:rsid w:val="000F35F1"/>
    <w:rsid w:val="000F7D53"/>
    <w:rsid w:val="000F7DB7"/>
    <w:rsid w:val="001022F1"/>
    <w:rsid w:val="001037D5"/>
    <w:rsid w:val="001068A0"/>
    <w:rsid w:val="00106F20"/>
    <w:rsid w:val="0011084D"/>
    <w:rsid w:val="00110E50"/>
    <w:rsid w:val="0011531E"/>
    <w:rsid w:val="0012058E"/>
    <w:rsid w:val="00123A35"/>
    <w:rsid w:val="00126D95"/>
    <w:rsid w:val="00132572"/>
    <w:rsid w:val="00135F92"/>
    <w:rsid w:val="001365B4"/>
    <w:rsid w:val="00140DDF"/>
    <w:rsid w:val="00145688"/>
    <w:rsid w:val="001456CB"/>
    <w:rsid w:val="00147EDB"/>
    <w:rsid w:val="00165ACD"/>
    <w:rsid w:val="001677C1"/>
    <w:rsid w:val="00170B6A"/>
    <w:rsid w:val="00174C08"/>
    <w:rsid w:val="00176B5D"/>
    <w:rsid w:val="001825AD"/>
    <w:rsid w:val="00185DBE"/>
    <w:rsid w:val="00187C5A"/>
    <w:rsid w:val="001918ED"/>
    <w:rsid w:val="00192A7F"/>
    <w:rsid w:val="00194D96"/>
    <w:rsid w:val="00194E5B"/>
    <w:rsid w:val="00196076"/>
    <w:rsid w:val="001972C0"/>
    <w:rsid w:val="001A19A1"/>
    <w:rsid w:val="001A2D7F"/>
    <w:rsid w:val="001A3DF8"/>
    <w:rsid w:val="001A572D"/>
    <w:rsid w:val="001B1B11"/>
    <w:rsid w:val="001B324E"/>
    <w:rsid w:val="001B6887"/>
    <w:rsid w:val="001B6E5E"/>
    <w:rsid w:val="001B700E"/>
    <w:rsid w:val="001C0776"/>
    <w:rsid w:val="001C2BC9"/>
    <w:rsid w:val="001C39CB"/>
    <w:rsid w:val="001C3F50"/>
    <w:rsid w:val="001C51A9"/>
    <w:rsid w:val="001C7693"/>
    <w:rsid w:val="001D1D7C"/>
    <w:rsid w:val="001D4AD8"/>
    <w:rsid w:val="001D54FF"/>
    <w:rsid w:val="001D5787"/>
    <w:rsid w:val="001E1974"/>
    <w:rsid w:val="001E72C1"/>
    <w:rsid w:val="001F032F"/>
    <w:rsid w:val="001F2539"/>
    <w:rsid w:val="001F71E8"/>
    <w:rsid w:val="00201F4A"/>
    <w:rsid w:val="00202BC2"/>
    <w:rsid w:val="0021168C"/>
    <w:rsid w:val="00214113"/>
    <w:rsid w:val="00215081"/>
    <w:rsid w:val="00215C24"/>
    <w:rsid w:val="00222532"/>
    <w:rsid w:val="00223BE5"/>
    <w:rsid w:val="002358ED"/>
    <w:rsid w:val="00235ED5"/>
    <w:rsid w:val="00237445"/>
    <w:rsid w:val="00242311"/>
    <w:rsid w:val="00245047"/>
    <w:rsid w:val="0024737A"/>
    <w:rsid w:val="00252B36"/>
    <w:rsid w:val="002533AB"/>
    <w:rsid w:val="002555AC"/>
    <w:rsid w:val="00255ADF"/>
    <w:rsid w:val="002651A6"/>
    <w:rsid w:val="002715B5"/>
    <w:rsid w:val="00273CE2"/>
    <w:rsid w:val="00274A36"/>
    <w:rsid w:val="002760CB"/>
    <w:rsid w:val="0027659A"/>
    <w:rsid w:val="002769EB"/>
    <w:rsid w:val="00286141"/>
    <w:rsid w:val="0029464B"/>
    <w:rsid w:val="002973F0"/>
    <w:rsid w:val="002975C1"/>
    <w:rsid w:val="002977E1"/>
    <w:rsid w:val="002A0E6E"/>
    <w:rsid w:val="002A33CC"/>
    <w:rsid w:val="002A4358"/>
    <w:rsid w:val="002B1808"/>
    <w:rsid w:val="002C1ACE"/>
    <w:rsid w:val="002C3E0D"/>
    <w:rsid w:val="002D1D7D"/>
    <w:rsid w:val="002D2873"/>
    <w:rsid w:val="002D41FB"/>
    <w:rsid w:val="002E0587"/>
    <w:rsid w:val="002E1E1D"/>
    <w:rsid w:val="002E6597"/>
    <w:rsid w:val="002F030C"/>
    <w:rsid w:val="002F1DCE"/>
    <w:rsid w:val="002F51CA"/>
    <w:rsid w:val="003002BB"/>
    <w:rsid w:val="003120F5"/>
    <w:rsid w:val="00313F8D"/>
    <w:rsid w:val="00316FF8"/>
    <w:rsid w:val="00317401"/>
    <w:rsid w:val="00317FAF"/>
    <w:rsid w:val="0032112D"/>
    <w:rsid w:val="00325BFD"/>
    <w:rsid w:val="003264F9"/>
    <w:rsid w:val="00326FC1"/>
    <w:rsid w:val="00327EB6"/>
    <w:rsid w:val="00330DBC"/>
    <w:rsid w:val="00337922"/>
    <w:rsid w:val="003379A5"/>
    <w:rsid w:val="00340867"/>
    <w:rsid w:val="00341CA5"/>
    <w:rsid w:val="00342857"/>
    <w:rsid w:val="003464C5"/>
    <w:rsid w:val="003504E8"/>
    <w:rsid w:val="003507AC"/>
    <w:rsid w:val="00351CD4"/>
    <w:rsid w:val="003608CB"/>
    <w:rsid w:val="003627B6"/>
    <w:rsid w:val="003675FE"/>
    <w:rsid w:val="003708D5"/>
    <w:rsid w:val="0037587D"/>
    <w:rsid w:val="003800DE"/>
    <w:rsid w:val="0038061A"/>
    <w:rsid w:val="0038063B"/>
    <w:rsid w:val="00380837"/>
    <w:rsid w:val="00382EDD"/>
    <w:rsid w:val="003836CA"/>
    <w:rsid w:val="003848AC"/>
    <w:rsid w:val="00386171"/>
    <w:rsid w:val="00386A98"/>
    <w:rsid w:val="00392D5A"/>
    <w:rsid w:val="003965AB"/>
    <w:rsid w:val="003A1E9C"/>
    <w:rsid w:val="003A3803"/>
    <w:rsid w:val="003A57BB"/>
    <w:rsid w:val="003A5B31"/>
    <w:rsid w:val="003B4391"/>
    <w:rsid w:val="003B4C0E"/>
    <w:rsid w:val="003B4DB8"/>
    <w:rsid w:val="003B63F4"/>
    <w:rsid w:val="003B686D"/>
    <w:rsid w:val="003B6EB8"/>
    <w:rsid w:val="003C5E95"/>
    <w:rsid w:val="003C7699"/>
    <w:rsid w:val="003D1723"/>
    <w:rsid w:val="003D470D"/>
    <w:rsid w:val="003D6BE3"/>
    <w:rsid w:val="003E0907"/>
    <w:rsid w:val="003E0E52"/>
    <w:rsid w:val="003E2C93"/>
    <w:rsid w:val="003E449F"/>
    <w:rsid w:val="003F20A5"/>
    <w:rsid w:val="003F6B8B"/>
    <w:rsid w:val="00400B96"/>
    <w:rsid w:val="00400C4E"/>
    <w:rsid w:val="00405D5F"/>
    <w:rsid w:val="00410914"/>
    <w:rsid w:val="00415AA3"/>
    <w:rsid w:val="00420650"/>
    <w:rsid w:val="00420C60"/>
    <w:rsid w:val="00422BE6"/>
    <w:rsid w:val="00430432"/>
    <w:rsid w:val="00432E49"/>
    <w:rsid w:val="00433759"/>
    <w:rsid w:val="0043494E"/>
    <w:rsid w:val="004414A5"/>
    <w:rsid w:val="00441B50"/>
    <w:rsid w:val="0044209C"/>
    <w:rsid w:val="004428CE"/>
    <w:rsid w:val="00450792"/>
    <w:rsid w:val="00456697"/>
    <w:rsid w:val="004606D0"/>
    <w:rsid w:val="00463AD4"/>
    <w:rsid w:val="00463F22"/>
    <w:rsid w:val="00465FE1"/>
    <w:rsid w:val="00474079"/>
    <w:rsid w:val="00475491"/>
    <w:rsid w:val="004869FB"/>
    <w:rsid w:val="00487DDC"/>
    <w:rsid w:val="00491735"/>
    <w:rsid w:val="00493760"/>
    <w:rsid w:val="00494A46"/>
    <w:rsid w:val="00495E16"/>
    <w:rsid w:val="00497CEF"/>
    <w:rsid w:val="004A1070"/>
    <w:rsid w:val="004A38FC"/>
    <w:rsid w:val="004A3C73"/>
    <w:rsid w:val="004A4739"/>
    <w:rsid w:val="004A7106"/>
    <w:rsid w:val="004B217F"/>
    <w:rsid w:val="004B3E7F"/>
    <w:rsid w:val="004B57AB"/>
    <w:rsid w:val="004B77C5"/>
    <w:rsid w:val="004C07FE"/>
    <w:rsid w:val="004C3A73"/>
    <w:rsid w:val="004C5731"/>
    <w:rsid w:val="004C5BFE"/>
    <w:rsid w:val="004C5C5A"/>
    <w:rsid w:val="004C78A9"/>
    <w:rsid w:val="004D3E4C"/>
    <w:rsid w:val="004D55E7"/>
    <w:rsid w:val="004D62EF"/>
    <w:rsid w:val="004D7A97"/>
    <w:rsid w:val="004E5609"/>
    <w:rsid w:val="004E61BC"/>
    <w:rsid w:val="004E63AC"/>
    <w:rsid w:val="004F185D"/>
    <w:rsid w:val="00500565"/>
    <w:rsid w:val="005021E7"/>
    <w:rsid w:val="00502C53"/>
    <w:rsid w:val="005052B3"/>
    <w:rsid w:val="005056ED"/>
    <w:rsid w:val="00505819"/>
    <w:rsid w:val="005064D2"/>
    <w:rsid w:val="00515C94"/>
    <w:rsid w:val="00516644"/>
    <w:rsid w:val="00516693"/>
    <w:rsid w:val="00517E4C"/>
    <w:rsid w:val="00520F6D"/>
    <w:rsid w:val="005213B7"/>
    <w:rsid w:val="00521CF0"/>
    <w:rsid w:val="00523D34"/>
    <w:rsid w:val="0052582F"/>
    <w:rsid w:val="00527341"/>
    <w:rsid w:val="00531909"/>
    <w:rsid w:val="0053208B"/>
    <w:rsid w:val="0053404C"/>
    <w:rsid w:val="00534814"/>
    <w:rsid w:val="00535EB3"/>
    <w:rsid w:val="00536930"/>
    <w:rsid w:val="00541AE2"/>
    <w:rsid w:val="00546D5F"/>
    <w:rsid w:val="00552785"/>
    <w:rsid w:val="00552BDE"/>
    <w:rsid w:val="005571F6"/>
    <w:rsid w:val="005577AD"/>
    <w:rsid w:val="00560A2A"/>
    <w:rsid w:val="00564E53"/>
    <w:rsid w:val="005652DC"/>
    <w:rsid w:val="005675B7"/>
    <w:rsid w:val="005706CE"/>
    <w:rsid w:val="00576C70"/>
    <w:rsid w:val="00580B9E"/>
    <w:rsid w:val="00583277"/>
    <w:rsid w:val="00592C3E"/>
    <w:rsid w:val="005978E6"/>
    <w:rsid w:val="005A000F"/>
    <w:rsid w:val="005A25DA"/>
    <w:rsid w:val="005A5268"/>
    <w:rsid w:val="005B173D"/>
    <w:rsid w:val="005B2F7B"/>
    <w:rsid w:val="005B6888"/>
    <w:rsid w:val="005D1D88"/>
    <w:rsid w:val="005D3677"/>
    <w:rsid w:val="005D59EB"/>
    <w:rsid w:val="005E20E9"/>
    <w:rsid w:val="005E277A"/>
    <w:rsid w:val="005F6C65"/>
    <w:rsid w:val="00600F02"/>
    <w:rsid w:val="00604098"/>
    <w:rsid w:val="0060444D"/>
    <w:rsid w:val="00604DB4"/>
    <w:rsid w:val="0060747B"/>
    <w:rsid w:val="00611393"/>
    <w:rsid w:val="00615924"/>
    <w:rsid w:val="006223EE"/>
    <w:rsid w:val="00623B63"/>
    <w:rsid w:val="00624222"/>
    <w:rsid w:val="00624F35"/>
    <w:rsid w:val="00633AC5"/>
    <w:rsid w:val="00637E5C"/>
    <w:rsid w:val="00642776"/>
    <w:rsid w:val="00644FE2"/>
    <w:rsid w:val="00645FB8"/>
    <w:rsid w:val="00651986"/>
    <w:rsid w:val="006545E8"/>
    <w:rsid w:val="006629CC"/>
    <w:rsid w:val="00664736"/>
    <w:rsid w:val="00665980"/>
    <w:rsid w:val="006676DD"/>
    <w:rsid w:val="006727F9"/>
    <w:rsid w:val="0067640C"/>
    <w:rsid w:val="00681DFF"/>
    <w:rsid w:val="006836D9"/>
    <w:rsid w:val="00683914"/>
    <w:rsid w:val="006849AB"/>
    <w:rsid w:val="0068548D"/>
    <w:rsid w:val="00686182"/>
    <w:rsid w:val="00687321"/>
    <w:rsid w:val="00692812"/>
    <w:rsid w:val="00694433"/>
    <w:rsid w:val="006946B4"/>
    <w:rsid w:val="00695256"/>
    <w:rsid w:val="00695570"/>
    <w:rsid w:val="006969F1"/>
    <w:rsid w:val="00696AF1"/>
    <w:rsid w:val="006A102C"/>
    <w:rsid w:val="006A31E8"/>
    <w:rsid w:val="006A3B31"/>
    <w:rsid w:val="006A68F3"/>
    <w:rsid w:val="006A6ABC"/>
    <w:rsid w:val="006A6EA3"/>
    <w:rsid w:val="006A7352"/>
    <w:rsid w:val="006B182C"/>
    <w:rsid w:val="006B30C6"/>
    <w:rsid w:val="006B4127"/>
    <w:rsid w:val="006C058B"/>
    <w:rsid w:val="006C24BF"/>
    <w:rsid w:val="006C36AB"/>
    <w:rsid w:val="006C40B9"/>
    <w:rsid w:val="006C4656"/>
    <w:rsid w:val="006C4CFB"/>
    <w:rsid w:val="006D265F"/>
    <w:rsid w:val="006D4DF7"/>
    <w:rsid w:val="006D5BDA"/>
    <w:rsid w:val="006E678B"/>
    <w:rsid w:val="006F2682"/>
    <w:rsid w:val="0070367F"/>
    <w:rsid w:val="00710655"/>
    <w:rsid w:val="00712F3C"/>
    <w:rsid w:val="00713015"/>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15DC"/>
    <w:rsid w:val="007839F5"/>
    <w:rsid w:val="00783C4A"/>
    <w:rsid w:val="00787C80"/>
    <w:rsid w:val="00790D5E"/>
    <w:rsid w:val="00790E09"/>
    <w:rsid w:val="00790FC6"/>
    <w:rsid w:val="007925FD"/>
    <w:rsid w:val="00794D01"/>
    <w:rsid w:val="00795FA6"/>
    <w:rsid w:val="007A2C5A"/>
    <w:rsid w:val="007A47FB"/>
    <w:rsid w:val="007A6299"/>
    <w:rsid w:val="007B106B"/>
    <w:rsid w:val="007B275D"/>
    <w:rsid w:val="007C24A1"/>
    <w:rsid w:val="007C2EC8"/>
    <w:rsid w:val="007E03E9"/>
    <w:rsid w:val="007E6AEB"/>
    <w:rsid w:val="007E7C11"/>
    <w:rsid w:val="007F01EC"/>
    <w:rsid w:val="007F0EA0"/>
    <w:rsid w:val="007F1DD4"/>
    <w:rsid w:val="007F3AD5"/>
    <w:rsid w:val="007F64B9"/>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50591"/>
    <w:rsid w:val="00861584"/>
    <w:rsid w:val="0086249C"/>
    <w:rsid w:val="008638DE"/>
    <w:rsid w:val="00863B20"/>
    <w:rsid w:val="008646DE"/>
    <w:rsid w:val="00864902"/>
    <w:rsid w:val="00864BE7"/>
    <w:rsid w:val="00865200"/>
    <w:rsid w:val="00867677"/>
    <w:rsid w:val="00871695"/>
    <w:rsid w:val="00872888"/>
    <w:rsid w:val="0087521C"/>
    <w:rsid w:val="0088174B"/>
    <w:rsid w:val="00881C64"/>
    <w:rsid w:val="00885631"/>
    <w:rsid w:val="00886006"/>
    <w:rsid w:val="00891C25"/>
    <w:rsid w:val="00894200"/>
    <w:rsid w:val="008973EE"/>
    <w:rsid w:val="008A0DA8"/>
    <w:rsid w:val="008A4AC0"/>
    <w:rsid w:val="008A7C7E"/>
    <w:rsid w:val="008B028C"/>
    <w:rsid w:val="008B21BA"/>
    <w:rsid w:val="008B4EE2"/>
    <w:rsid w:val="008B7990"/>
    <w:rsid w:val="008C199E"/>
    <w:rsid w:val="008C1CA5"/>
    <w:rsid w:val="008C53BD"/>
    <w:rsid w:val="008C6BF3"/>
    <w:rsid w:val="008D089D"/>
    <w:rsid w:val="008D23FA"/>
    <w:rsid w:val="008E0673"/>
    <w:rsid w:val="008E792C"/>
    <w:rsid w:val="008F0B04"/>
    <w:rsid w:val="008F3781"/>
    <w:rsid w:val="008F6DB9"/>
    <w:rsid w:val="008F7C55"/>
    <w:rsid w:val="00901BAF"/>
    <w:rsid w:val="0090402A"/>
    <w:rsid w:val="00904554"/>
    <w:rsid w:val="0091272B"/>
    <w:rsid w:val="00930694"/>
    <w:rsid w:val="00932193"/>
    <w:rsid w:val="0093521F"/>
    <w:rsid w:val="0093786C"/>
    <w:rsid w:val="0094027D"/>
    <w:rsid w:val="00945677"/>
    <w:rsid w:val="00951EAA"/>
    <w:rsid w:val="0095571F"/>
    <w:rsid w:val="00955B84"/>
    <w:rsid w:val="0095689B"/>
    <w:rsid w:val="00962F78"/>
    <w:rsid w:val="00963A6C"/>
    <w:rsid w:val="00965A0E"/>
    <w:rsid w:val="0096609F"/>
    <w:rsid w:val="00971600"/>
    <w:rsid w:val="00984342"/>
    <w:rsid w:val="00993632"/>
    <w:rsid w:val="00995C51"/>
    <w:rsid w:val="00996B0D"/>
    <w:rsid w:val="009973B4"/>
    <w:rsid w:val="009A1279"/>
    <w:rsid w:val="009A3FB8"/>
    <w:rsid w:val="009A4B5C"/>
    <w:rsid w:val="009A6F79"/>
    <w:rsid w:val="009B16F4"/>
    <w:rsid w:val="009B4D68"/>
    <w:rsid w:val="009B6785"/>
    <w:rsid w:val="009B6AB3"/>
    <w:rsid w:val="009B7EB8"/>
    <w:rsid w:val="009C131F"/>
    <w:rsid w:val="009D1075"/>
    <w:rsid w:val="009D1A3F"/>
    <w:rsid w:val="009D2F66"/>
    <w:rsid w:val="009D57CF"/>
    <w:rsid w:val="009D73FE"/>
    <w:rsid w:val="009E12E7"/>
    <w:rsid w:val="009E2238"/>
    <w:rsid w:val="009E30DA"/>
    <w:rsid w:val="009E3D68"/>
    <w:rsid w:val="009E3FDC"/>
    <w:rsid w:val="009E6193"/>
    <w:rsid w:val="009E7DD1"/>
    <w:rsid w:val="009F3FB8"/>
    <w:rsid w:val="009F6386"/>
    <w:rsid w:val="009F7BFC"/>
    <w:rsid w:val="009F7EED"/>
    <w:rsid w:val="00A044E2"/>
    <w:rsid w:val="00A071E8"/>
    <w:rsid w:val="00A0721A"/>
    <w:rsid w:val="00A138EC"/>
    <w:rsid w:val="00A33BB2"/>
    <w:rsid w:val="00A378F6"/>
    <w:rsid w:val="00A41F32"/>
    <w:rsid w:val="00A50B4B"/>
    <w:rsid w:val="00A51349"/>
    <w:rsid w:val="00A57E86"/>
    <w:rsid w:val="00A61ED7"/>
    <w:rsid w:val="00A64722"/>
    <w:rsid w:val="00A743CD"/>
    <w:rsid w:val="00A76CD3"/>
    <w:rsid w:val="00A801DE"/>
    <w:rsid w:val="00A80C1F"/>
    <w:rsid w:val="00A81FD7"/>
    <w:rsid w:val="00A86BDD"/>
    <w:rsid w:val="00A90A22"/>
    <w:rsid w:val="00A93100"/>
    <w:rsid w:val="00A969B9"/>
    <w:rsid w:val="00A96A66"/>
    <w:rsid w:val="00A97734"/>
    <w:rsid w:val="00A97D5C"/>
    <w:rsid w:val="00AA1858"/>
    <w:rsid w:val="00AA2BD6"/>
    <w:rsid w:val="00AA3149"/>
    <w:rsid w:val="00AA5451"/>
    <w:rsid w:val="00AA6131"/>
    <w:rsid w:val="00AA6A45"/>
    <w:rsid w:val="00AA7528"/>
    <w:rsid w:val="00AA7F40"/>
    <w:rsid w:val="00AB41FC"/>
    <w:rsid w:val="00AB7D2F"/>
    <w:rsid w:val="00AC1D8B"/>
    <w:rsid w:val="00AC24B1"/>
    <w:rsid w:val="00AC260E"/>
    <w:rsid w:val="00AD145D"/>
    <w:rsid w:val="00AD20E6"/>
    <w:rsid w:val="00AD6F34"/>
    <w:rsid w:val="00AE020D"/>
    <w:rsid w:val="00AE0F91"/>
    <w:rsid w:val="00AE14A3"/>
    <w:rsid w:val="00AF0AAB"/>
    <w:rsid w:val="00AF156F"/>
    <w:rsid w:val="00AF616B"/>
    <w:rsid w:val="00B034AD"/>
    <w:rsid w:val="00B0685B"/>
    <w:rsid w:val="00B06B5B"/>
    <w:rsid w:val="00B0721E"/>
    <w:rsid w:val="00B127C6"/>
    <w:rsid w:val="00B14B87"/>
    <w:rsid w:val="00B217C5"/>
    <w:rsid w:val="00B22D22"/>
    <w:rsid w:val="00B23030"/>
    <w:rsid w:val="00B237B9"/>
    <w:rsid w:val="00B23CAA"/>
    <w:rsid w:val="00B2489D"/>
    <w:rsid w:val="00B31E41"/>
    <w:rsid w:val="00B33F8F"/>
    <w:rsid w:val="00B359DF"/>
    <w:rsid w:val="00B37E52"/>
    <w:rsid w:val="00B410EE"/>
    <w:rsid w:val="00B427EC"/>
    <w:rsid w:val="00B526B1"/>
    <w:rsid w:val="00B546C0"/>
    <w:rsid w:val="00B565BF"/>
    <w:rsid w:val="00B6762E"/>
    <w:rsid w:val="00B71EA0"/>
    <w:rsid w:val="00B729F6"/>
    <w:rsid w:val="00B73843"/>
    <w:rsid w:val="00B73B0E"/>
    <w:rsid w:val="00B73EA8"/>
    <w:rsid w:val="00B8202D"/>
    <w:rsid w:val="00B82639"/>
    <w:rsid w:val="00B91271"/>
    <w:rsid w:val="00B91605"/>
    <w:rsid w:val="00B929FD"/>
    <w:rsid w:val="00B95B99"/>
    <w:rsid w:val="00B95F69"/>
    <w:rsid w:val="00BA435D"/>
    <w:rsid w:val="00BA5B19"/>
    <w:rsid w:val="00BB0434"/>
    <w:rsid w:val="00BB0E5E"/>
    <w:rsid w:val="00BC0122"/>
    <w:rsid w:val="00BC2015"/>
    <w:rsid w:val="00BC71B0"/>
    <w:rsid w:val="00BD3E2B"/>
    <w:rsid w:val="00BD4E08"/>
    <w:rsid w:val="00BD6DBC"/>
    <w:rsid w:val="00BE00E9"/>
    <w:rsid w:val="00BE512D"/>
    <w:rsid w:val="00BE7AD6"/>
    <w:rsid w:val="00BF597E"/>
    <w:rsid w:val="00C03098"/>
    <w:rsid w:val="00C070E4"/>
    <w:rsid w:val="00C10EF3"/>
    <w:rsid w:val="00C14685"/>
    <w:rsid w:val="00C31C73"/>
    <w:rsid w:val="00C31C8D"/>
    <w:rsid w:val="00C431C9"/>
    <w:rsid w:val="00C513CB"/>
    <w:rsid w:val="00C51A36"/>
    <w:rsid w:val="00C548BE"/>
    <w:rsid w:val="00C55228"/>
    <w:rsid w:val="00C619C1"/>
    <w:rsid w:val="00C62031"/>
    <w:rsid w:val="00C67E19"/>
    <w:rsid w:val="00C67E47"/>
    <w:rsid w:val="00C70C21"/>
    <w:rsid w:val="00C71E85"/>
    <w:rsid w:val="00C72565"/>
    <w:rsid w:val="00C750BE"/>
    <w:rsid w:val="00C76A3E"/>
    <w:rsid w:val="00C773BA"/>
    <w:rsid w:val="00C80205"/>
    <w:rsid w:val="00C85E49"/>
    <w:rsid w:val="00C86F9B"/>
    <w:rsid w:val="00C87FEE"/>
    <w:rsid w:val="00C90930"/>
    <w:rsid w:val="00C920A9"/>
    <w:rsid w:val="00C93340"/>
    <w:rsid w:val="00C9447D"/>
    <w:rsid w:val="00C96CD5"/>
    <w:rsid w:val="00CB0154"/>
    <w:rsid w:val="00CB0D49"/>
    <w:rsid w:val="00CB127F"/>
    <w:rsid w:val="00CB1FBC"/>
    <w:rsid w:val="00CB260B"/>
    <w:rsid w:val="00CB3729"/>
    <w:rsid w:val="00CB43FE"/>
    <w:rsid w:val="00CC0969"/>
    <w:rsid w:val="00CC2A01"/>
    <w:rsid w:val="00CC3BF9"/>
    <w:rsid w:val="00CC4D84"/>
    <w:rsid w:val="00CD394A"/>
    <w:rsid w:val="00CD68C2"/>
    <w:rsid w:val="00CD6C83"/>
    <w:rsid w:val="00CD6E0D"/>
    <w:rsid w:val="00CE0AA5"/>
    <w:rsid w:val="00CE2A9E"/>
    <w:rsid w:val="00CE2DBB"/>
    <w:rsid w:val="00CE315A"/>
    <w:rsid w:val="00CE4B8A"/>
    <w:rsid w:val="00CE7BE1"/>
    <w:rsid w:val="00CF147A"/>
    <w:rsid w:val="00CF1726"/>
    <w:rsid w:val="00CF5473"/>
    <w:rsid w:val="00CF6C5C"/>
    <w:rsid w:val="00D004F0"/>
    <w:rsid w:val="00D0368C"/>
    <w:rsid w:val="00D04E45"/>
    <w:rsid w:val="00D06F59"/>
    <w:rsid w:val="00D071AB"/>
    <w:rsid w:val="00D13453"/>
    <w:rsid w:val="00D274D0"/>
    <w:rsid w:val="00D3392D"/>
    <w:rsid w:val="00D379ED"/>
    <w:rsid w:val="00D37D1B"/>
    <w:rsid w:val="00D41F5E"/>
    <w:rsid w:val="00D4235F"/>
    <w:rsid w:val="00D429D7"/>
    <w:rsid w:val="00D42D53"/>
    <w:rsid w:val="00D548EE"/>
    <w:rsid w:val="00D55E69"/>
    <w:rsid w:val="00D562F6"/>
    <w:rsid w:val="00D74FBF"/>
    <w:rsid w:val="00D75463"/>
    <w:rsid w:val="00D75EFF"/>
    <w:rsid w:val="00D80770"/>
    <w:rsid w:val="00D83050"/>
    <w:rsid w:val="00D8388C"/>
    <w:rsid w:val="00D867F8"/>
    <w:rsid w:val="00D97182"/>
    <w:rsid w:val="00DA0DF0"/>
    <w:rsid w:val="00DA657E"/>
    <w:rsid w:val="00DB2382"/>
    <w:rsid w:val="00DB756E"/>
    <w:rsid w:val="00DC2968"/>
    <w:rsid w:val="00DC330A"/>
    <w:rsid w:val="00DC76E5"/>
    <w:rsid w:val="00DD10DC"/>
    <w:rsid w:val="00DD1C8E"/>
    <w:rsid w:val="00DD1D21"/>
    <w:rsid w:val="00DD48B3"/>
    <w:rsid w:val="00DE146D"/>
    <w:rsid w:val="00DE2D80"/>
    <w:rsid w:val="00DE33EC"/>
    <w:rsid w:val="00DE6FCE"/>
    <w:rsid w:val="00DF27ED"/>
    <w:rsid w:val="00DF6570"/>
    <w:rsid w:val="00DF76DB"/>
    <w:rsid w:val="00DF7D02"/>
    <w:rsid w:val="00E01EE2"/>
    <w:rsid w:val="00E02CC9"/>
    <w:rsid w:val="00E03405"/>
    <w:rsid w:val="00E038E4"/>
    <w:rsid w:val="00E0521C"/>
    <w:rsid w:val="00E11CD7"/>
    <w:rsid w:val="00E13D9A"/>
    <w:rsid w:val="00E14BA9"/>
    <w:rsid w:val="00E221C3"/>
    <w:rsid w:val="00E32D13"/>
    <w:rsid w:val="00E33A04"/>
    <w:rsid w:val="00E34F47"/>
    <w:rsid w:val="00E352EE"/>
    <w:rsid w:val="00E420B7"/>
    <w:rsid w:val="00E43822"/>
    <w:rsid w:val="00E54035"/>
    <w:rsid w:val="00E5717A"/>
    <w:rsid w:val="00E62996"/>
    <w:rsid w:val="00E63714"/>
    <w:rsid w:val="00E64A51"/>
    <w:rsid w:val="00E64CB9"/>
    <w:rsid w:val="00E676F9"/>
    <w:rsid w:val="00E7279B"/>
    <w:rsid w:val="00E74608"/>
    <w:rsid w:val="00E84C02"/>
    <w:rsid w:val="00E90BBC"/>
    <w:rsid w:val="00E90C62"/>
    <w:rsid w:val="00E910C0"/>
    <w:rsid w:val="00E95637"/>
    <w:rsid w:val="00E97424"/>
    <w:rsid w:val="00EA04FF"/>
    <w:rsid w:val="00EA55F7"/>
    <w:rsid w:val="00EB0164"/>
    <w:rsid w:val="00EB5DF5"/>
    <w:rsid w:val="00EB65F7"/>
    <w:rsid w:val="00EB7607"/>
    <w:rsid w:val="00EC3DBA"/>
    <w:rsid w:val="00EC42F5"/>
    <w:rsid w:val="00EC6620"/>
    <w:rsid w:val="00ED0F62"/>
    <w:rsid w:val="00ED77D9"/>
    <w:rsid w:val="00ED7F2E"/>
    <w:rsid w:val="00EE5CD9"/>
    <w:rsid w:val="00EE6713"/>
    <w:rsid w:val="00EE71F4"/>
    <w:rsid w:val="00EF29B6"/>
    <w:rsid w:val="00EF36E7"/>
    <w:rsid w:val="00F05FB7"/>
    <w:rsid w:val="00F06B25"/>
    <w:rsid w:val="00F06D09"/>
    <w:rsid w:val="00F0731D"/>
    <w:rsid w:val="00F11201"/>
    <w:rsid w:val="00F115BF"/>
    <w:rsid w:val="00F14D99"/>
    <w:rsid w:val="00F14FBF"/>
    <w:rsid w:val="00F2038C"/>
    <w:rsid w:val="00F21382"/>
    <w:rsid w:val="00F25AFF"/>
    <w:rsid w:val="00F31E8A"/>
    <w:rsid w:val="00F32CB9"/>
    <w:rsid w:val="00F33729"/>
    <w:rsid w:val="00F3372A"/>
    <w:rsid w:val="00F33ED6"/>
    <w:rsid w:val="00F35CD7"/>
    <w:rsid w:val="00F3666E"/>
    <w:rsid w:val="00F41ED6"/>
    <w:rsid w:val="00F44D4E"/>
    <w:rsid w:val="00F45A29"/>
    <w:rsid w:val="00F46C3F"/>
    <w:rsid w:val="00F47465"/>
    <w:rsid w:val="00F47508"/>
    <w:rsid w:val="00F47878"/>
    <w:rsid w:val="00F52928"/>
    <w:rsid w:val="00F55DB9"/>
    <w:rsid w:val="00F606E1"/>
    <w:rsid w:val="00F60CA3"/>
    <w:rsid w:val="00F6739D"/>
    <w:rsid w:val="00F83639"/>
    <w:rsid w:val="00F840C3"/>
    <w:rsid w:val="00F856F5"/>
    <w:rsid w:val="00F8598C"/>
    <w:rsid w:val="00F956F5"/>
    <w:rsid w:val="00F97087"/>
    <w:rsid w:val="00FA0833"/>
    <w:rsid w:val="00FA2467"/>
    <w:rsid w:val="00FA25E4"/>
    <w:rsid w:val="00FA2988"/>
    <w:rsid w:val="00FA350D"/>
    <w:rsid w:val="00FB03C3"/>
    <w:rsid w:val="00FB41F4"/>
    <w:rsid w:val="00FB5A65"/>
    <w:rsid w:val="00FB6C45"/>
    <w:rsid w:val="00FC01AB"/>
    <w:rsid w:val="00FC4F9E"/>
    <w:rsid w:val="00FD2556"/>
    <w:rsid w:val="00FD2869"/>
    <w:rsid w:val="00FD3F5E"/>
    <w:rsid w:val="00FD5EE5"/>
    <w:rsid w:val="00FD72A6"/>
    <w:rsid w:val="00FE09C9"/>
    <w:rsid w:val="00FE1887"/>
    <w:rsid w:val="00FE3DB1"/>
    <w:rsid w:val="00FE4EA8"/>
    <w:rsid w:val="108219C2"/>
    <w:rsid w:val="3D2223AB"/>
    <w:rsid w:val="5EA12B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1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iPriority w:val="0"/>
    <w:pPr>
      <w:adjustRightInd w:val="0"/>
      <w:spacing w:line="360" w:lineRule="atLeast"/>
      <w:ind w:left="480"/>
      <w:textAlignment w:val="baseline"/>
    </w:pPr>
    <w:rPr>
      <w:kern w:val="0"/>
    </w:rPr>
  </w:style>
  <w:style w:type="paragraph" w:styleId="4">
    <w:name w:val="Body Text"/>
    <w:basedOn w:val="1"/>
    <w:link w:val="20"/>
    <w:unhideWhenUsed/>
    <w:qFormat/>
    <w:uiPriority w:val="99"/>
    <w:pPr>
      <w:spacing w:line="420" w:lineRule="exact"/>
    </w:pPr>
    <w:rPr>
      <w:sz w:val="24"/>
    </w:rPr>
  </w:style>
  <w:style w:type="paragraph" w:styleId="5">
    <w:name w:val="Plain Text"/>
    <w:basedOn w:val="1"/>
    <w:link w:val="22"/>
    <w:qFormat/>
    <w:uiPriority w:val="0"/>
    <w:rPr>
      <w:rFonts w:ascii="宋体" w:hAnsi="Courier New"/>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uiPriority w:val="99"/>
    <w:pPr>
      <w:tabs>
        <w:tab w:val="center" w:pos="4153"/>
        <w:tab w:val="right" w:pos="8306"/>
      </w:tabs>
      <w:snapToGrid w:val="0"/>
      <w:jc w:val="left"/>
    </w:pPr>
    <w:rPr>
      <w:sz w:val="18"/>
      <w:szCs w:val="18"/>
    </w:rPr>
  </w:style>
  <w:style w:type="paragraph" w:styleId="8">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link w:val="23"/>
    <w:qFormat/>
    <w:uiPriority w:val="0"/>
    <w:pPr>
      <w:widowControl/>
      <w:jc w:val="center"/>
    </w:pPr>
    <w:rPr>
      <w:rFonts w:ascii="Book Antiqua" w:hAnsi="Book Antiqua"/>
      <w:b/>
      <w:kern w:val="0"/>
      <w:sz w:val="31"/>
      <w:szCs w:val="31"/>
      <w:u w:val="single"/>
      <w:lang w:eastAsia="en-US"/>
    </w:rPr>
  </w:style>
  <w:style w:type="table" w:styleId="11">
    <w:name w:val="Table Grid"/>
    <w:basedOn w:val="1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眉 Char"/>
    <w:basedOn w:val="12"/>
    <w:link w:val="8"/>
    <w:uiPriority w:val="99"/>
    <w:rPr>
      <w:rFonts w:ascii="Times New Roman" w:hAnsi="Times New Roman" w:eastAsia="宋体" w:cs="Times New Roman"/>
      <w:sz w:val="18"/>
      <w:szCs w:val="18"/>
    </w:rPr>
  </w:style>
  <w:style w:type="character" w:customStyle="1" w:styleId="14">
    <w:name w:val="页脚 Char"/>
    <w:basedOn w:val="12"/>
    <w:link w:val="7"/>
    <w:uiPriority w:val="99"/>
    <w:rPr>
      <w:rFonts w:ascii="Times New Roman" w:hAnsi="Times New Roman" w:eastAsia="宋体" w:cs="Times New Roman"/>
      <w:sz w:val="18"/>
      <w:szCs w:val="18"/>
    </w:rPr>
  </w:style>
  <w:style w:type="character" w:customStyle="1" w:styleId="15">
    <w:name w:val="批注框文本 Char"/>
    <w:basedOn w:val="12"/>
    <w:link w:val="6"/>
    <w:semiHidden/>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fontstyle01"/>
    <w:basedOn w:val="12"/>
    <w:uiPriority w:val="0"/>
    <w:rPr>
      <w:rFonts w:hint="eastAsia" w:ascii="宋体" w:hAnsi="宋体" w:eastAsia="宋体"/>
      <w:color w:val="000000"/>
      <w:sz w:val="24"/>
      <w:szCs w:val="24"/>
    </w:rPr>
  </w:style>
  <w:style w:type="character" w:customStyle="1" w:styleId="18">
    <w:name w:val="fontstyle21"/>
    <w:basedOn w:val="12"/>
    <w:uiPriority w:val="0"/>
    <w:rPr>
      <w:rFonts w:hint="default" w:ascii="Times New Roman" w:hAnsi="Times New Roman" w:cs="Times New Roman"/>
      <w:color w:val="000000"/>
      <w:sz w:val="24"/>
      <w:szCs w:val="24"/>
    </w:rPr>
  </w:style>
  <w:style w:type="character" w:customStyle="1" w:styleId="19">
    <w:name w:val="标题 2 Char"/>
    <w:basedOn w:val="12"/>
    <w:link w:val="2"/>
    <w:uiPriority w:val="9"/>
    <w:rPr>
      <w:rFonts w:asciiTheme="majorHAnsi" w:hAnsiTheme="majorHAnsi" w:eastAsiaTheme="majorEastAsia" w:cstheme="majorBidi"/>
      <w:b/>
      <w:bCs/>
      <w:kern w:val="2"/>
      <w:sz w:val="32"/>
      <w:szCs w:val="32"/>
    </w:rPr>
  </w:style>
  <w:style w:type="character" w:customStyle="1" w:styleId="20">
    <w:name w:val="正文文本 Char"/>
    <w:basedOn w:val="12"/>
    <w:link w:val="4"/>
    <w:uiPriority w:val="99"/>
    <w:rPr>
      <w:rFonts w:ascii="Times New Roman" w:hAnsi="Times New Roman" w:eastAsia="宋体" w:cs="Times New Roman"/>
      <w:kern w:val="2"/>
      <w:sz w:val="24"/>
    </w:rPr>
  </w:style>
  <w:style w:type="paragraph" w:customStyle="1" w:styleId="21">
    <w:name w:val="表格文字"/>
    <w:basedOn w:val="1"/>
    <w:qFormat/>
    <w:uiPriority w:val="0"/>
    <w:pPr>
      <w:spacing w:before="25" w:after="25"/>
    </w:pPr>
    <w:rPr>
      <w:bCs/>
      <w:spacing w:val="10"/>
    </w:rPr>
  </w:style>
  <w:style w:type="character" w:customStyle="1" w:styleId="22">
    <w:name w:val="纯文本 Char"/>
    <w:basedOn w:val="12"/>
    <w:link w:val="5"/>
    <w:uiPriority w:val="0"/>
    <w:rPr>
      <w:rFonts w:ascii="宋体" w:hAnsi="Courier New" w:eastAsia="宋体" w:cs="Times New Roman"/>
      <w:kern w:val="2"/>
      <w:sz w:val="21"/>
    </w:rPr>
  </w:style>
  <w:style w:type="character" w:customStyle="1" w:styleId="23">
    <w:name w:val="标题 Char"/>
    <w:basedOn w:val="12"/>
    <w:link w:val="9"/>
    <w:uiPriority w:val="0"/>
    <w:rPr>
      <w:rFonts w:ascii="Book Antiqua" w:hAnsi="Book Antiqua" w:eastAsia="宋体" w:cs="Times New Roman"/>
      <w:b/>
      <w:sz w:val="31"/>
      <w:szCs w:val="31"/>
      <w:u w:val="single"/>
      <w:lang w:eastAsia="en-US"/>
    </w:rPr>
  </w:style>
  <w:style w:type="paragraph" w:styleId="24">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855C77-60A2-4F0F-909E-48161EBFF83F}">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1357</Words>
  <Characters>7741</Characters>
  <Lines>64</Lines>
  <Paragraphs>18</Paragraphs>
  <TotalTime>1</TotalTime>
  <ScaleCrop>false</ScaleCrop>
  <LinksUpToDate>false</LinksUpToDate>
  <CharactersWithSpaces>9080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小小</cp:lastModifiedBy>
  <dcterms:modified xsi:type="dcterms:W3CDTF">2020-03-31T01:56:11Z</dcterms:modified>
  <cp:revision>1009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