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南京硕勋自动化工程有限公司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18.09.00,29.12.00,34.05.00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岳树亮</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胡益民</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19001-2016idtISO 9001:2015</w:t>
      </w:r>
      <w:bookmarkEnd w:id="4"/>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南京硕勋自动化工程有限公司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hint="eastAsia" w:ascii="宋体" w:hAnsi="宋体" w:eastAsia="宋体"/>
                <w:b/>
                <w:color w:val="000000" w:themeColor="text1"/>
                <w:sz w:val="20"/>
                <w:szCs w:val="20"/>
                <w:lang w:eastAsia="zh-CN"/>
              </w:rPr>
            </w:pPr>
            <w:bookmarkStart w:id="6" w:name="企业人数"/>
            <w:r>
              <w:rPr>
                <w:rFonts w:ascii="宋体" w:hAnsi="宋体"/>
                <w:b/>
                <w:color w:val="000000" w:themeColor="text1"/>
                <w:sz w:val="20"/>
                <w:szCs w:val="20"/>
              </w:rPr>
              <w:t>1</w:t>
            </w:r>
            <w:bookmarkEnd w:id="6"/>
            <w:r>
              <w:rPr>
                <w:rFonts w:hint="eastAsia" w:ascii="宋体" w:hAnsi="宋体"/>
                <w:b/>
                <w:color w:val="000000" w:themeColor="text1"/>
                <w:sz w:val="20"/>
                <w:szCs w:val="20"/>
                <w:lang w:val="en-US" w:eastAsia="zh-CN"/>
              </w:rPr>
              <w:t>7</w:t>
            </w:r>
            <w:bookmarkStart w:id="22" w:name="_GoBack"/>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南京市庐山路158号嘉业国际城02幢2318室</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211302</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南京市庐山路158号嘉业国际城02幢2318室</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211302</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沈晓明</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13851799432</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沈晓明</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沈晓明</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工业自动化工程设计、安装；电脑外设及耗材、监控设备的销售</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18.09.00;29.12.00;34.05.00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2019-09-01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领导层</w:t>
            </w:r>
          </w:p>
        </w:tc>
        <w:tc>
          <w:tcPr>
            <w:tcW w:w="6804" w:type="dxa"/>
          </w:tcPr>
          <w:p>
            <w:pPr>
              <w:jc w:val="center"/>
              <w:rPr>
                <w:rFonts w:ascii="宋体" w:hAnsi="宋体"/>
                <w:b/>
                <w:color w:val="000000" w:themeColor="text1"/>
                <w:spacing w:val="-20"/>
                <w:sz w:val="20"/>
                <w:szCs w:val="20"/>
                <w:u w:val="single"/>
              </w:rPr>
            </w:pPr>
            <w:r>
              <w:rPr>
                <w:rFonts w:hint="eastAsia" w:ascii="宋体" w:hAnsi="宋体"/>
                <w:bCs/>
                <w:spacing w:val="-20"/>
                <w:szCs w:val="21"/>
              </w:rPr>
              <w:t>内外部环境、领导作用、风险识别、体系策划、资源支持、管理评审、持续改进等，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生产部</w:t>
            </w:r>
          </w:p>
        </w:tc>
        <w:tc>
          <w:tcPr>
            <w:tcW w:w="6804" w:type="dxa"/>
          </w:tcPr>
          <w:p>
            <w:pPr>
              <w:jc w:val="center"/>
              <w:rPr>
                <w:rFonts w:ascii="宋体" w:hAnsi="宋体"/>
                <w:b/>
                <w:color w:val="000000" w:themeColor="text1"/>
                <w:spacing w:val="-20"/>
                <w:sz w:val="20"/>
                <w:szCs w:val="20"/>
                <w:u w:val="single"/>
              </w:rPr>
            </w:pPr>
            <w:r>
              <w:rPr>
                <w:rFonts w:hint="eastAsia" w:ascii="宋体" w:hAnsi="宋体"/>
                <w:bCs/>
                <w:color w:val="auto"/>
                <w:spacing w:val="-20"/>
                <w:szCs w:val="21"/>
              </w:rPr>
              <w:t>监视和测量过程、不合格品控制、纠正和预防措施的控制</w:t>
            </w:r>
            <w:r>
              <w:rPr>
                <w:rFonts w:hint="eastAsia" w:ascii="宋体" w:hAnsi="宋体"/>
                <w:bCs/>
                <w:spacing w:val="-20"/>
                <w:szCs w:val="21"/>
              </w:rPr>
              <w:t>、过程环境、服务策划和实现过程、产品和服务的要求、纠正预防、改进、管理体系运行过程控制等；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研发部</w:t>
            </w:r>
          </w:p>
        </w:tc>
        <w:tc>
          <w:tcPr>
            <w:tcW w:w="6804" w:type="dxa"/>
          </w:tcPr>
          <w:p>
            <w:pPr>
              <w:jc w:val="center"/>
              <w:rPr>
                <w:rFonts w:ascii="宋体" w:hAnsi="宋体"/>
                <w:b/>
                <w:color w:val="000000" w:themeColor="text1"/>
                <w:spacing w:val="-20"/>
                <w:sz w:val="20"/>
                <w:szCs w:val="20"/>
                <w:u w:val="single"/>
              </w:rPr>
            </w:pPr>
            <w:r>
              <w:rPr>
                <w:rFonts w:hint="eastAsia" w:ascii="宋体" w:hAnsi="宋体" w:eastAsia="宋体" w:cs="Times New Roman"/>
                <w:bCs/>
                <w:color w:val="auto"/>
                <w:spacing w:val="-20"/>
                <w:szCs w:val="21"/>
              </w:rPr>
              <w:t>部门职责权限、目标管理方案、基础设施、过程环境；</w:t>
            </w:r>
            <w:r>
              <w:rPr>
                <w:rFonts w:hint="eastAsia" w:ascii="宋体" w:hAnsi="宋体" w:eastAsia="宋体" w:cs="Times New Roman"/>
                <w:bCs/>
                <w:color w:val="auto"/>
                <w:spacing w:val="-20"/>
                <w:szCs w:val="21"/>
                <w:lang w:val="en-US" w:eastAsia="zh-CN"/>
              </w:rPr>
              <w:t>产品和服务设计研发，产品服务放行，不合格控制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办公室</w:t>
            </w:r>
          </w:p>
        </w:tc>
        <w:tc>
          <w:tcPr>
            <w:tcW w:w="6804" w:type="dxa"/>
          </w:tcPr>
          <w:p>
            <w:pPr>
              <w:jc w:val="center"/>
              <w:rPr>
                <w:rFonts w:ascii="宋体" w:hAnsi="宋体"/>
                <w:b/>
                <w:color w:val="000000" w:themeColor="text1"/>
                <w:spacing w:val="-20"/>
                <w:sz w:val="20"/>
                <w:szCs w:val="20"/>
                <w:u w:val="single"/>
              </w:rPr>
            </w:pPr>
            <w:r>
              <w:rPr>
                <w:rFonts w:hint="eastAsia" w:ascii="宋体" w:hAnsi="宋体"/>
                <w:bCs/>
                <w:spacing w:val="-20"/>
                <w:szCs w:val="21"/>
              </w:rPr>
              <w:t>文件和记录控制过程；人力资源管理过程；资源提供与管理过程控制；</w:t>
            </w:r>
            <w:r>
              <w:rPr>
                <w:rFonts w:hint="eastAsia" w:ascii="宋体" w:hAnsi="宋体"/>
                <w:bCs/>
                <w:color w:val="auto"/>
                <w:spacing w:val="-20"/>
                <w:szCs w:val="21"/>
              </w:rPr>
              <w:t>原料采购</w:t>
            </w:r>
            <w:r>
              <w:rPr>
                <w:rFonts w:hint="eastAsia" w:ascii="宋体" w:hAnsi="宋体"/>
                <w:bCs/>
                <w:color w:val="auto"/>
                <w:spacing w:val="-20"/>
                <w:szCs w:val="21"/>
                <w:lang w:eastAsia="zh-CN"/>
              </w:rPr>
              <w:t>、</w:t>
            </w:r>
            <w:r>
              <w:rPr>
                <w:rFonts w:hint="eastAsia" w:ascii="宋体" w:hAnsi="宋体"/>
                <w:bCs/>
                <w:color w:val="auto"/>
                <w:spacing w:val="-20"/>
                <w:szCs w:val="21"/>
              </w:rPr>
              <w:t>产品的销售、客户满意调查</w:t>
            </w:r>
            <w:r>
              <w:rPr>
                <w:rFonts w:hint="eastAsia" w:ascii="宋体" w:hAnsi="宋体"/>
                <w:bCs/>
                <w:color w:val="auto"/>
                <w:spacing w:val="-20"/>
                <w:szCs w:val="21"/>
                <w:lang w:eastAsia="zh-CN"/>
              </w:rPr>
              <w:t>、</w:t>
            </w:r>
            <w:r>
              <w:rPr>
                <w:rFonts w:hint="eastAsia" w:ascii="宋体" w:hAnsi="宋体"/>
                <w:bCs/>
                <w:spacing w:val="-20"/>
                <w:szCs w:val="21"/>
              </w:rPr>
              <w:t>投诉处理过程、</w:t>
            </w:r>
            <w:r>
              <w:rPr>
                <w:rFonts w:hint="eastAsia" w:ascii="宋体" w:hAnsi="宋体"/>
                <w:bCs/>
                <w:color w:val="auto"/>
                <w:spacing w:val="-20"/>
                <w:szCs w:val="21"/>
              </w:rPr>
              <w:t>产品的运输</w:t>
            </w:r>
            <w:r>
              <w:rPr>
                <w:rFonts w:hint="eastAsia" w:ascii="宋体" w:hAnsi="宋体"/>
                <w:bCs/>
                <w:color w:val="auto"/>
                <w:spacing w:val="-20"/>
                <w:szCs w:val="21"/>
                <w:lang w:eastAsia="zh-CN"/>
              </w:rPr>
              <w:t>；</w:t>
            </w:r>
            <w:r>
              <w:rPr>
                <w:rFonts w:hint="eastAsia" w:ascii="宋体" w:hAnsi="宋体"/>
                <w:bCs/>
                <w:spacing w:val="-20"/>
                <w:szCs w:val="21"/>
              </w:rPr>
              <w:t>内外部信息交流过程；内审管理；内外部信息交流、风险评价和风险控制措施的确定等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sz w:val="20"/>
              </w:rPr>
              <w:t>工业自动化工程设计、安装；电脑外设及耗材、监控设备的销售</w:t>
            </w:r>
          </w:p>
        </w:tc>
        <w:tc>
          <w:tcPr>
            <w:tcW w:w="2519" w:type="dxa"/>
          </w:tcPr>
          <w:p>
            <w:pPr>
              <w:rPr>
                <w:b/>
                <w:color w:val="000000" w:themeColor="text1"/>
                <w:sz w:val="20"/>
                <w:szCs w:val="20"/>
              </w:rPr>
            </w:pPr>
            <w:r>
              <w:rPr>
                <w:rFonts w:hint="eastAsia"/>
              </w:rPr>
              <w:t>烟厂风力出料机监控系统</w:t>
            </w:r>
          </w:p>
        </w:tc>
        <w:tc>
          <w:tcPr>
            <w:tcW w:w="1843"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台</w:t>
            </w:r>
          </w:p>
        </w:tc>
        <w:tc>
          <w:tcPr>
            <w:tcW w:w="3543" w:type="dxa"/>
          </w:tcPr>
          <w:p>
            <w:pPr>
              <w:rPr>
                <w:b/>
                <w:color w:val="000000" w:themeColor="text1"/>
                <w:sz w:val="20"/>
                <w:szCs w:val="20"/>
              </w:rPr>
            </w:pPr>
            <w:r>
              <w:rPr>
                <w:rFonts w:hint="eastAsia"/>
                <w:b/>
                <w:color w:val="000000" w:themeColor="text1"/>
                <w:sz w:val="20"/>
                <w:szCs w:val="20"/>
                <w:lang w:val="en-US" w:eastAsia="zh-CN"/>
              </w:rPr>
              <w:t>按照客户要求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r>
        <w:rPr>
          <w:rFonts w:hint="eastAsia"/>
          <w:b/>
          <w:color w:val="000000" w:themeColor="text1"/>
          <w:spacing w:val="-10"/>
          <w:szCs w:val="21"/>
          <w:lang w:val="en-US" w:eastAsia="zh-CN"/>
        </w:rPr>
        <w:t>24</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rFonts w:hint="default" w:eastAsia="宋体"/>
                <w:b/>
                <w:color w:val="000000" w:themeColor="text1"/>
                <w:sz w:val="20"/>
                <w:szCs w:val="20"/>
                <w:lang w:val="en-US" w:eastAsia="zh-CN"/>
              </w:rPr>
            </w:pPr>
            <w:r>
              <w:rPr>
                <w:rFonts w:hint="eastAsia" w:ascii="Times New Roman" w:hAnsi="Times New Roman" w:eastAsia="宋体" w:cs="宋体"/>
                <w:szCs w:val="21"/>
                <w:lang w:val="en-US" w:eastAsia="zh-CN"/>
              </w:rPr>
              <w:t>公司位于南京市庐山路158号嘉业国际城02幢2318室，成立于2005年3月21日。专业生产工业自动化工程设计、安装；电脑外设及耗材、监控设备的销售，公司拥有一支专业从事工业电气自动化系统集成的队伍，为用户提供方案设计、设备选型、软件开发、现场调试。通过长期实践积累经验，掌握相关行业的生产工艺，具有丰富的项目实施、项目管理和现场调试经验。服务宗旨是：技术不断创新、服务不断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b/>
                <w:color w:val="000000" w:themeColor="text1"/>
                <w:sz w:val="20"/>
                <w:szCs w:val="20"/>
              </w:rPr>
            </w:pPr>
            <w:r>
              <w:rPr>
                <w:rFonts w:hint="eastAsia"/>
                <w:b/>
                <w:color w:val="000000" w:themeColor="text1"/>
                <w:sz w:val="20"/>
                <w:szCs w:val="20"/>
              </w:rPr>
              <w:t>相关方需求和期望识别情况</w:t>
            </w:r>
          </w:p>
          <w:p>
            <w:pPr>
              <w:spacing w:line="240" w:lineRule="exact"/>
              <w:rPr>
                <w:rFonts w:hint="eastAsia" w:ascii="Times New Roman" w:hAnsi="Times New Roman" w:eastAsia="宋体" w:cs="宋体"/>
                <w:szCs w:val="21"/>
                <w:lang w:val="en-US" w:eastAsia="zh-CN"/>
              </w:rPr>
            </w:pPr>
            <w:r>
              <w:rPr>
                <w:rFonts w:hint="eastAsia" w:ascii="Times New Roman" w:hAnsi="Times New Roman" w:eastAsia="宋体" w:cs="宋体"/>
                <w:szCs w:val="21"/>
                <w:lang w:val="en-US" w:eastAsia="zh-CN"/>
              </w:rPr>
              <w:t>在公司运营过程中充分考虑相关方方面的期望或要求，已识别公司的相关方涉及到：顾客、供方、员工、周边企业、审核机构、公司经营者、政府机构等。</w:t>
            </w:r>
          </w:p>
          <w:p>
            <w:pPr>
              <w:spacing w:line="240" w:lineRule="exact"/>
              <w:rPr>
                <w:rFonts w:hint="eastAsia" w:ascii="Times New Roman" w:hAnsi="Times New Roman" w:eastAsia="宋体" w:cs="宋体"/>
                <w:szCs w:val="21"/>
                <w:lang w:val="en-US" w:eastAsia="zh-CN"/>
              </w:rPr>
            </w:pPr>
            <w:r>
              <w:rPr>
                <w:rFonts w:hint="eastAsia" w:ascii="Times New Roman" w:hAnsi="Times New Roman" w:eastAsia="宋体" w:cs="宋体"/>
                <w:szCs w:val="21"/>
                <w:lang w:val="en-US" w:eastAsia="zh-CN"/>
              </w:rPr>
              <w:t>生产部、研发部等相关职能部门通过■日常例会、□市场活动、■现场拜访、□产品展销会、■客户调查等多种渠道和方式方法随时了解相关方的需求和期望。作为公司经营风险分析和发展机遇的可利用资源。</w:t>
            </w:r>
          </w:p>
          <w:p>
            <w:pPr>
              <w:spacing w:line="240" w:lineRule="exact"/>
              <w:rPr>
                <w:rFonts w:hint="eastAsia" w:ascii="Times New Roman" w:hAnsi="Times New Roman" w:eastAsia="宋体" w:cs="宋体"/>
                <w:szCs w:val="21"/>
                <w:lang w:val="en-US" w:eastAsia="zh-CN"/>
              </w:rPr>
            </w:pPr>
            <w:r>
              <w:rPr>
                <w:rFonts w:hint="eastAsia" w:ascii="Times New Roman" w:hAnsi="Times New Roman" w:eastAsia="宋体" w:cs="宋体"/>
                <w:szCs w:val="21"/>
                <w:lang w:val="en-US" w:eastAsia="zh-CN"/>
              </w:rPr>
              <w:t>与公司高管交流，内外部相关方需求分析到位。口头交流。</w:t>
            </w:r>
          </w:p>
          <w:p>
            <w:pPr>
              <w:spacing w:line="240" w:lineRule="exact"/>
              <w:rPr>
                <w:rFonts w:hint="eastAsia"/>
                <w:b/>
                <w:color w:val="000000" w:themeColor="text1"/>
                <w:sz w:val="20"/>
                <w:szCs w:val="20"/>
              </w:rPr>
            </w:pPr>
            <w:r>
              <w:rPr>
                <w:rFonts w:hint="eastAsia" w:ascii="Times New Roman" w:hAnsi="Times New Roman" w:eastAsia="宋体" w:cs="宋体"/>
                <w:szCs w:val="21"/>
                <w:lang w:val="en-US" w:eastAsia="zh-CN"/>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rPr>
                <w:rFonts w:hint="eastAsia" w:ascii="Times New Roman" w:hAnsi="Times New Roman" w:eastAsia="宋体" w:cs="宋体"/>
                <w:szCs w:val="21"/>
                <w:lang w:val="en-US" w:eastAsia="zh-CN"/>
              </w:rPr>
            </w:pPr>
            <w:r>
              <w:rPr>
                <w:rFonts w:hint="eastAsia" w:ascii="Times New Roman" w:hAnsi="Times New Roman" w:eastAsia="宋体" w:cs="宋体"/>
                <w:szCs w:val="21"/>
                <w:lang w:val="en-US" w:eastAsia="zh-CN"/>
              </w:rPr>
              <w:t>企业质量方针：“规范管理、周到服务、客户满意、持续改进。”</w:t>
            </w:r>
          </w:p>
          <w:p>
            <w:pPr>
              <w:spacing w:line="240" w:lineRule="exact"/>
              <w:rPr>
                <w:rFonts w:hint="eastAsia" w:ascii="Times New Roman" w:hAnsi="Times New Roman" w:eastAsia="宋体" w:cs="宋体"/>
                <w:szCs w:val="21"/>
                <w:lang w:val="en-US" w:eastAsia="zh-CN"/>
              </w:rPr>
            </w:pPr>
            <w:r>
              <w:rPr>
                <w:rFonts w:hint="eastAsia" w:ascii="Times New Roman" w:hAnsi="Times New Roman" w:eastAsia="宋体" w:cs="宋体"/>
                <w:szCs w:val="21"/>
                <w:lang w:val="en-US" w:eastAsia="zh-CN"/>
              </w:rPr>
              <w:t>与公司的经营宗旨相适应，体现公司在质量方面追求的承诺。体现了满足和遵守相关法律法规的承诺、体现了持续改进管理体系的承诺，为质量目标的制定和评审提供了框架，通过组织学习培训， 使全员了解公司质量方针的内涵。为质量方针的实现努力工作，经管理评审确认，方针适合于公司现状，目前暂不作修订。</w:t>
            </w:r>
          </w:p>
          <w:p>
            <w:pPr>
              <w:spacing w:line="240" w:lineRule="exact"/>
              <w:rPr>
                <w:b/>
                <w:color w:val="000000" w:themeColor="text1"/>
              </w:rPr>
            </w:pPr>
            <w:r>
              <w:rPr>
                <w:rFonts w:hint="eastAsia" w:ascii="Times New Roman" w:hAnsi="Times New Roman" w:eastAsia="宋体" w:cs="宋体"/>
                <w:szCs w:val="21"/>
                <w:lang w:val="en-US" w:eastAsia="zh-CN"/>
              </w:rPr>
              <w:t>公司通过各种宣传方式，将管理方针宣传到本公司各层次，确保方针得到正确的理解和实施。在管理评审会议上，总经理组织对方针的持续适宜性和有效性进行评审，并根据评审结果对其做出必要的调整。当相关方需要公司提供管理方针时，可通过公司内部进行传递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b/>
                <w:color w:val="000000" w:themeColor="text1"/>
              </w:rPr>
            </w:pPr>
            <w:r>
              <w:rPr>
                <w:rFonts w:hint="eastAsia"/>
                <w:b/>
                <w:color w:val="000000" w:themeColor="text1"/>
              </w:rPr>
              <w:t>风险识别与控制策划（QMS）</w:t>
            </w:r>
          </w:p>
          <w:p>
            <w:pPr>
              <w:spacing w:line="240" w:lineRule="exact"/>
              <w:rPr>
                <w:rFonts w:hint="eastAsia" w:ascii="Times New Roman" w:hAnsi="Times New Roman" w:eastAsia="宋体" w:cs="宋体"/>
                <w:szCs w:val="21"/>
                <w:lang w:val="en-US" w:eastAsia="zh-CN"/>
              </w:rPr>
            </w:pPr>
            <w:r>
              <w:rPr>
                <w:rFonts w:hint="eastAsia" w:ascii="Times New Roman" w:hAnsi="Times New Roman" w:eastAsia="宋体" w:cs="宋体"/>
                <w:szCs w:val="21"/>
                <w:lang w:val="en-US" w:eastAsia="zh-CN"/>
              </w:rPr>
              <w:t>公司在策划质量管理体系时，为确保质量管理体系能够实现其预期结果、增强有利影响避免或减少不利影响并实现改进，管理者代表考虑公司环境有关的外部和内部因素、相关方的需求和期望，通过推动SWOT分析方法来确定应对风险和机遇措施。</w:t>
            </w:r>
          </w:p>
          <w:p>
            <w:pPr>
              <w:spacing w:line="240" w:lineRule="exact"/>
              <w:rPr>
                <w:rFonts w:hint="default" w:ascii="Times New Roman" w:hAnsi="Times New Roman" w:eastAsia="宋体" w:cs="宋体"/>
                <w:szCs w:val="21"/>
                <w:lang w:val="en-US" w:eastAsia="zh-CN"/>
              </w:rPr>
            </w:pPr>
            <w:r>
              <w:rPr>
                <w:rFonts w:hint="eastAsia" w:ascii="Times New Roman" w:hAnsi="Times New Roman" w:eastAsia="宋体" w:cs="宋体"/>
                <w:szCs w:val="21"/>
                <w:lang w:val="en-US" w:eastAsia="zh-CN"/>
              </w:rPr>
              <w:t>提供了《风险和机遇评估分析表》，针对识别的内外部风险和机遇，制定了相应的应对措施，针对法律法规的变化，可以要求主要职能部门按照要求加强法律法规的收集评价；针对基础设施的机遇，可以加强维护保养，确保设备的性能和精度长期稳定。</w:t>
            </w:r>
          </w:p>
          <w:p>
            <w:pPr>
              <w:spacing w:line="240" w:lineRule="exact"/>
              <w:rPr>
                <w:rFonts w:hint="eastAsia" w:ascii="Times New Roman" w:hAnsi="Times New Roman" w:eastAsia="宋体" w:cs="宋体"/>
                <w:szCs w:val="21"/>
                <w:lang w:val="en-US" w:eastAsia="zh-CN"/>
              </w:rPr>
            </w:pPr>
            <w:r>
              <w:rPr>
                <w:rFonts w:hint="eastAsia" w:ascii="Times New Roman" w:hAnsi="Times New Roman" w:eastAsia="宋体" w:cs="宋体"/>
                <w:szCs w:val="21"/>
                <w:lang w:val="en-US" w:eastAsia="zh-CN"/>
              </w:rPr>
              <w:t>提供公司质量管理体《过程风险与机遇评价与应对策划表》，对人力资源控制、检验过程、原材料的采购风险、订单评审过程、文件记录管理过程等进行了措施应对策划。</w:t>
            </w:r>
          </w:p>
          <w:p>
            <w:pPr>
              <w:spacing w:line="240" w:lineRule="exact"/>
              <w:rPr>
                <w:rFonts w:hint="eastAsia" w:ascii="Times New Roman" w:hAnsi="Times New Roman" w:eastAsia="宋体" w:cs="宋体"/>
                <w:szCs w:val="21"/>
                <w:lang w:val="en-US" w:eastAsia="zh-CN"/>
              </w:rPr>
            </w:pPr>
            <w:r>
              <w:rPr>
                <w:rFonts w:hint="eastAsia" w:ascii="Times New Roman" w:hAnsi="Times New Roman" w:eastAsia="宋体" w:cs="宋体"/>
                <w:szCs w:val="21"/>
                <w:lang w:val="en-US" w:eastAsia="zh-CN"/>
              </w:rPr>
              <w:t>采取措施是：</w:t>
            </w:r>
          </w:p>
          <w:p>
            <w:pPr>
              <w:spacing w:line="240" w:lineRule="exact"/>
              <w:rPr>
                <w:rFonts w:hint="eastAsia" w:ascii="Times New Roman" w:hAnsi="Times New Roman" w:eastAsia="宋体" w:cs="宋体"/>
                <w:szCs w:val="21"/>
                <w:lang w:val="en-US" w:eastAsia="zh-CN"/>
              </w:rPr>
            </w:pPr>
            <w:r>
              <w:rPr>
                <w:rFonts w:hint="eastAsia" w:ascii="Times New Roman" w:hAnsi="Times New Roman" w:eastAsia="宋体" w:cs="宋体"/>
                <w:szCs w:val="21"/>
                <w:lang w:val="en-US" w:eastAsia="zh-CN"/>
              </w:rPr>
              <w:t>定期汇总分析市场情况，包括行业发展情况，相关企业产品分析，竞品分析，行业政策跟踪，以保证随时掌握行业及竞争企业的发展动态，为销售业务拓展提供决策依据；</w:t>
            </w:r>
          </w:p>
          <w:p>
            <w:pPr>
              <w:spacing w:line="240" w:lineRule="exact"/>
              <w:rPr>
                <w:rFonts w:hint="eastAsia" w:ascii="Times New Roman" w:hAnsi="Times New Roman" w:eastAsia="宋体" w:cs="宋体"/>
                <w:szCs w:val="21"/>
                <w:lang w:val="en-US" w:eastAsia="zh-CN"/>
              </w:rPr>
            </w:pPr>
            <w:r>
              <w:rPr>
                <w:rFonts w:hint="eastAsia" w:ascii="Times New Roman" w:hAnsi="Times New Roman" w:eastAsia="宋体" w:cs="宋体"/>
                <w:szCs w:val="21"/>
                <w:lang w:val="en-US" w:eastAsia="zh-CN"/>
              </w:rPr>
              <w:t>市场推广风险:要求要提前策划广告宣传力度、提高公司产品质量才能够吸引大众的眼光，进而的到更多人的眼球，进而得到更多的消费人群。</w:t>
            </w:r>
          </w:p>
          <w:p>
            <w:pPr>
              <w:spacing w:line="240" w:lineRule="exact"/>
              <w:rPr>
                <w:rFonts w:hint="eastAsia" w:ascii="Times New Roman" w:hAnsi="Times New Roman" w:eastAsia="宋体" w:cs="宋体"/>
                <w:szCs w:val="21"/>
                <w:lang w:val="en-US" w:eastAsia="zh-CN"/>
              </w:rPr>
            </w:pPr>
            <w:r>
              <w:rPr>
                <w:rFonts w:hint="eastAsia" w:ascii="Times New Roman" w:hAnsi="Times New Roman" w:eastAsia="宋体" w:cs="宋体"/>
                <w:szCs w:val="21"/>
                <w:lang w:val="en-US" w:eastAsia="zh-CN"/>
              </w:rPr>
              <w:t>每月按照合同、协议对账时间及时对账，催款，回款，降低资金风险。</w:t>
            </w:r>
          </w:p>
          <w:p>
            <w:pPr>
              <w:spacing w:line="240" w:lineRule="exact"/>
              <w:rPr>
                <w:rFonts w:hint="eastAsia" w:ascii="Times New Roman" w:hAnsi="Times New Roman" w:eastAsia="宋体" w:cs="宋体"/>
                <w:szCs w:val="21"/>
                <w:lang w:val="en-US" w:eastAsia="zh-CN"/>
              </w:rPr>
            </w:pPr>
            <w:r>
              <w:rPr>
                <w:rFonts w:hint="eastAsia" w:ascii="Times New Roman" w:hAnsi="Times New Roman" w:eastAsia="宋体" w:cs="宋体"/>
                <w:szCs w:val="21"/>
                <w:lang w:val="en-US" w:eastAsia="zh-CN"/>
              </w:rPr>
              <w:t>公司提供财务支持，对主要供应商的优质产品保持价格优势，促进有序采购；</w:t>
            </w:r>
          </w:p>
          <w:p>
            <w:pPr>
              <w:spacing w:line="240" w:lineRule="exact"/>
              <w:rPr>
                <w:rFonts w:hint="eastAsia" w:ascii="Times New Roman" w:hAnsi="Times New Roman" w:eastAsia="宋体" w:cs="宋体"/>
                <w:szCs w:val="21"/>
                <w:lang w:val="en-US" w:eastAsia="zh-CN"/>
              </w:rPr>
            </w:pPr>
            <w:r>
              <w:rPr>
                <w:rFonts w:hint="eastAsia" w:ascii="Times New Roman" w:hAnsi="Times New Roman" w:eastAsia="宋体" w:cs="宋体"/>
                <w:szCs w:val="21"/>
                <w:lang w:val="en-US" w:eastAsia="zh-CN"/>
              </w:rPr>
              <w:t>及时获取顾客要求，对供货商进行严格资质评定，有质量要求的产品要求提供检测报告或材质单应急准备与响应控制程序、应急预案/制定目标等。</w:t>
            </w:r>
          </w:p>
          <w:p>
            <w:pPr>
              <w:spacing w:line="240" w:lineRule="exact"/>
              <w:rPr>
                <w:rFonts w:hint="eastAsia" w:ascii="Times New Roman" w:hAnsi="Times New Roman" w:eastAsia="宋体" w:cs="宋体"/>
                <w:szCs w:val="21"/>
                <w:lang w:val="en-US" w:eastAsia="zh-CN"/>
              </w:rPr>
            </w:pPr>
            <w:r>
              <w:rPr>
                <w:rFonts w:hint="eastAsia" w:ascii="Times New Roman" w:hAnsi="Times New Roman" w:eastAsia="宋体" w:cs="宋体"/>
                <w:szCs w:val="21"/>
                <w:lang w:val="en-US" w:eastAsia="zh-CN"/>
              </w:rPr>
              <w:t>风险机遇识别基本充分，应对风险和机遇的措施基本适宜。</w:t>
            </w:r>
          </w:p>
          <w:p>
            <w:pPr>
              <w:spacing w:line="240" w:lineRule="exact"/>
              <w:rPr>
                <w:rFonts w:hint="eastAsia"/>
                <w:b/>
                <w:color w:val="000000" w:themeColor="text1"/>
              </w:rPr>
            </w:pPr>
            <w:r>
              <w:rPr>
                <w:rFonts w:hint="eastAsia" w:ascii="Times New Roman" w:hAnsi="Times New Roman" w:eastAsia="宋体" w:cs="宋体"/>
                <w:szCs w:val="21"/>
                <w:lang w:val="en-US" w:eastAsia="zh-CN"/>
              </w:rPr>
              <w:t>公司运行平稳，风险、机遇识别较一阶段没变化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240" w:lineRule="exact"/>
              <w:rPr>
                <w:rFonts w:hint="eastAsia" w:ascii="Times New Roman" w:hAnsi="Times New Roman" w:eastAsia="宋体" w:cs="宋体"/>
                <w:szCs w:val="21"/>
                <w:lang w:val="en-US" w:eastAsia="zh-CN"/>
              </w:rPr>
            </w:pPr>
            <w:r>
              <w:rPr>
                <w:rFonts w:hint="eastAsia" w:ascii="宋体" w:hAnsi="宋体"/>
                <w:b/>
                <w:color w:val="000000" w:themeColor="text1"/>
                <w:sz w:val="20"/>
                <w:szCs w:val="20"/>
              </w:rPr>
              <w:t>质量管理体系过程有：</w:t>
            </w:r>
            <w:r>
              <w:rPr>
                <w:rFonts w:hint="eastAsia" w:ascii="Times New Roman" w:hAnsi="Times New Roman" w:eastAsia="宋体" w:cs="宋体"/>
                <w:szCs w:val="21"/>
                <w:lang w:val="en-US" w:eastAsia="zh-CN"/>
              </w:rPr>
              <w:t>1.软件设计开发流程：需求分析→概要设计→详细设计→软件编码→软件测试→用户验收→运行维护</w:t>
            </w:r>
          </w:p>
          <w:p>
            <w:pPr>
              <w:spacing w:line="240" w:lineRule="exact"/>
              <w:rPr>
                <w:rFonts w:hint="eastAsia" w:ascii="Times New Roman" w:hAnsi="Times New Roman" w:eastAsia="宋体" w:cs="宋体"/>
                <w:szCs w:val="21"/>
                <w:lang w:val="en-US" w:eastAsia="zh-CN"/>
              </w:rPr>
            </w:pPr>
            <w:r>
              <w:rPr>
                <w:rFonts w:hint="eastAsia" w:ascii="Times New Roman" w:hAnsi="Times New Roman" w:eastAsia="宋体" w:cs="宋体"/>
                <w:szCs w:val="21"/>
                <w:lang w:val="en-US" w:eastAsia="zh-CN"/>
              </w:rPr>
              <w:t>2.销售服务流程：顾客沟通→合同评审→签订合同→实施采购→供方送货→顾客签收→交付及售后服务</w:t>
            </w:r>
          </w:p>
          <w:p>
            <w:pPr>
              <w:spacing w:line="240" w:lineRule="exact"/>
              <w:rPr>
                <w:rFonts w:hint="eastAsia" w:ascii="Times New Roman" w:hAnsi="Times New Roman" w:eastAsia="宋体" w:cs="宋体"/>
                <w:szCs w:val="21"/>
                <w:lang w:val="en-US" w:eastAsia="zh-CN"/>
              </w:rPr>
            </w:pPr>
            <w:r>
              <w:rPr>
                <w:rFonts w:hint="eastAsia" w:ascii="Times New Roman" w:hAnsi="Times New Roman" w:eastAsia="宋体" w:cs="宋体"/>
                <w:szCs w:val="21"/>
                <w:lang w:val="en-US" w:eastAsia="zh-CN"/>
              </w:rPr>
              <w:t xml:space="preserve">3、安装服务流程图：柜体装配→电源接线→信号接线→通电→测试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无</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，不适用理由：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产品/服务□环境因素□危险源，□确定 □未确定法律法规要求的具体条款，</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法律法规的宣传方式：■会议传达、■规章制度张贴</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40" w:lineRule="exact"/>
              <w:rPr>
                <w:rFonts w:hint="eastAsia" w:ascii="宋体" w:hAnsi="宋体" w:eastAsia="宋体"/>
                <w:sz w:val="24"/>
                <w:lang w:val="en-US" w:eastAsia="zh-CN"/>
              </w:rPr>
            </w:pPr>
            <w:r>
              <w:rPr>
                <w:rFonts w:hint="eastAsia" w:ascii="Times New Roman" w:hAnsi="Times New Roman" w:eastAsia="宋体" w:cs="宋体"/>
                <w:szCs w:val="21"/>
                <w:lang w:val="en-US" w:eastAsia="zh-CN"/>
              </w:rPr>
              <w:t>企业质量目标：产品一次交验合格率≥98%</w:t>
            </w:r>
            <w:r>
              <w:rPr>
                <w:rFonts w:hint="eastAsia" w:cs="宋体"/>
                <w:szCs w:val="21"/>
                <w:lang w:val="en-US" w:eastAsia="zh-CN"/>
              </w:rPr>
              <w:t>，</w:t>
            </w:r>
            <w:r>
              <w:rPr>
                <w:rFonts w:hint="eastAsia" w:ascii="宋体" w:hAnsi="宋体"/>
                <w:sz w:val="24"/>
                <w:lang w:val="en-US" w:eastAsia="zh-CN"/>
              </w:rPr>
              <w:t>测量方法：</w:t>
            </w:r>
            <w:r>
              <w:rPr>
                <w:rFonts w:hint="eastAsia"/>
                <w:spacing w:val="-6"/>
                <w:szCs w:val="21"/>
              </w:rPr>
              <w:t>交付数/合格数×100%</w:t>
            </w:r>
            <w:r>
              <w:rPr>
                <w:rFonts w:hint="eastAsia" w:ascii="宋体" w:hAnsi="宋体"/>
                <w:sz w:val="24"/>
                <w:lang w:val="en-US" w:eastAsia="zh-CN"/>
              </w:rPr>
              <w:t>；顾客满意度达到90%，测量方法：</w:t>
            </w:r>
            <w:r>
              <w:rPr>
                <w:rFonts w:hint="eastAsia"/>
                <w:spacing w:val="-6"/>
                <w:szCs w:val="21"/>
              </w:rPr>
              <w:t>数据统计分析</w:t>
            </w:r>
            <w:r>
              <w:rPr>
                <w:rFonts w:hint="eastAsia"/>
                <w:spacing w:val="-6"/>
                <w:szCs w:val="21"/>
                <w:lang w:eastAsia="zh-CN"/>
              </w:rPr>
              <w:t>。</w:t>
            </w:r>
          </w:p>
          <w:p>
            <w:pPr>
              <w:spacing w:line="240" w:lineRule="exact"/>
              <w:rPr>
                <w:rFonts w:hint="default" w:ascii="Times New Roman" w:hAnsi="Times New Roman" w:eastAsia="宋体" w:cs="宋体"/>
                <w:szCs w:val="21"/>
                <w:lang w:val="en-US" w:eastAsia="zh-CN"/>
              </w:rPr>
            </w:pPr>
          </w:p>
          <w:p>
            <w:pPr>
              <w:spacing w:line="240" w:lineRule="exact"/>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ascii="宋体" w:hAnsi="宋体"/>
                <w:b/>
                <w:color w:val="auto"/>
                <w:sz w:val="20"/>
                <w:szCs w:val="20"/>
              </w:rPr>
              <w:t>有</w:t>
            </w:r>
            <w:r>
              <w:rPr>
                <w:rFonts w:hint="eastAsia" w:ascii="宋体" w:hAnsi="宋体"/>
                <w:b/>
                <w:color w:val="auto"/>
                <w:sz w:val="20"/>
                <w:szCs w:val="20"/>
              </w:rPr>
              <w:t>《文件控制程序》和《记录控制程序》；体系文件基本能够符合ISO9001:2015的要求；文件从编制、审批到发放、修订均可受控；外来文件（包括法律法规）收集比较全面，并纳入日常的管理中。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ascii="宋体" w:hAnsi="宋体"/>
                <w:b/>
                <w:color w:val="auto"/>
                <w:sz w:val="20"/>
                <w:szCs w:val="20"/>
              </w:rPr>
              <w:t>公司共有员工</w:t>
            </w:r>
            <w:r>
              <w:rPr>
                <w:rFonts w:hint="eastAsia" w:ascii="宋体" w:hAnsi="宋体"/>
                <w:b/>
                <w:color w:val="auto"/>
                <w:sz w:val="20"/>
                <w:szCs w:val="20"/>
                <w:lang w:val="en-US" w:eastAsia="zh-CN"/>
              </w:rPr>
              <w:t>17</w:t>
            </w:r>
            <w:r>
              <w:rPr>
                <w:rFonts w:hint="eastAsia" w:ascii="宋体" w:hAnsi="宋体"/>
                <w:b/>
                <w:color w:val="auto"/>
                <w:sz w:val="20"/>
                <w:szCs w:val="20"/>
              </w:rPr>
              <w:t>人，管理人员</w:t>
            </w:r>
            <w:r>
              <w:rPr>
                <w:rFonts w:hint="eastAsia" w:ascii="宋体" w:hAnsi="宋体"/>
                <w:b/>
                <w:color w:val="auto"/>
                <w:sz w:val="20"/>
                <w:szCs w:val="20"/>
                <w:lang w:val="en-US" w:eastAsia="zh-CN"/>
              </w:rPr>
              <w:t>4</w:t>
            </w:r>
            <w:r>
              <w:rPr>
                <w:rFonts w:hint="eastAsia" w:ascii="宋体" w:hAnsi="宋体"/>
                <w:b/>
                <w:color w:val="auto"/>
                <w:sz w:val="20"/>
                <w:szCs w:val="20"/>
              </w:rPr>
              <w:t>人；能够满足入职要求；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rPr>
              <w:t>办公电脑</w:t>
            </w:r>
            <w:r>
              <w:rPr>
                <w:rFonts w:hint="eastAsia" w:ascii="宋体" w:hAnsi="宋体" w:cs="宋体"/>
                <w:sz w:val="24"/>
                <w:lang w:val="en-US" w:eastAsia="zh-CN"/>
              </w:rPr>
              <w:t>；</w:t>
            </w:r>
            <w:r>
              <w:rPr>
                <w:rFonts w:hint="eastAsia"/>
              </w:rPr>
              <w:t>工业交换机</w:t>
            </w:r>
            <w:r>
              <w:rPr>
                <w:rFonts w:hint="eastAsia" w:ascii="宋体" w:hAnsi="宋体" w:cs="宋体"/>
                <w:sz w:val="24"/>
                <w:lang w:val="en-US" w:eastAsia="zh-CN"/>
              </w:rPr>
              <w:t>；</w:t>
            </w:r>
            <w:r>
              <w:rPr>
                <w:rFonts w:hint="eastAsia"/>
              </w:rPr>
              <w:t>CPU控制器</w:t>
            </w:r>
            <w:r>
              <w:rPr>
                <w:rFonts w:hint="eastAsia" w:ascii="宋体" w:hAnsi="宋体" w:cs="宋体"/>
                <w:sz w:val="24"/>
                <w:lang w:val="en-US" w:eastAsia="zh-CN"/>
              </w:rPr>
              <w:t>；</w:t>
            </w:r>
            <w:r>
              <w:rPr>
                <w:rFonts w:hint="eastAsia"/>
              </w:rPr>
              <w:t>变频器</w:t>
            </w:r>
            <w:r>
              <w:rPr>
                <w:rFonts w:hint="eastAsia" w:ascii="宋体" w:hAnsi="宋体" w:cs="宋体"/>
                <w:sz w:val="24"/>
                <w:lang w:val="en-US" w:eastAsia="zh-CN"/>
              </w:rPr>
              <w:t>；</w:t>
            </w:r>
            <w:r>
              <w:rPr>
                <w:rFonts w:hint="eastAsia"/>
              </w:rPr>
              <w:t>智能变送器</w:t>
            </w:r>
            <w:r>
              <w:rPr>
                <w:rFonts w:hint="eastAsia"/>
                <w:lang w:eastAsia="zh-CN"/>
              </w:rPr>
              <w:t>；</w:t>
            </w:r>
            <w:r>
              <w:rPr>
                <w:rFonts w:hint="eastAsia"/>
              </w:rPr>
              <w:t>热电阻</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kern w:val="0"/>
                <w:szCs w:val="21"/>
              </w:rPr>
              <w:t>生产现场</w:t>
            </w:r>
            <w:r>
              <w:rPr>
                <w:rFonts w:ascii="宋体" w:hAnsi="宋体" w:cs="宋体"/>
                <w:kern w:val="0"/>
                <w:szCs w:val="21"/>
              </w:rPr>
              <w:t>基本符合</w:t>
            </w:r>
            <w:r>
              <w:rPr>
                <w:rFonts w:hint="eastAsia" w:ascii="宋体" w:hAnsi="宋体" w:cs="宋体"/>
                <w:kern w:val="0"/>
                <w:szCs w:val="21"/>
                <w:lang w:val="en-US" w:eastAsia="zh-CN"/>
              </w:rPr>
              <w:t>产品生产的</w:t>
            </w:r>
            <w:r>
              <w:rPr>
                <w:rFonts w:hint="eastAsia" w:ascii="宋体" w:hAnsi="宋体" w:cs="宋体"/>
                <w:kern w:val="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eastAsia" w:ascii="宋体" w:hAnsi="宋体"/>
                <w:b/>
                <w:color w:val="000000" w:themeColor="text1"/>
                <w:sz w:val="20"/>
                <w:szCs w:val="20"/>
              </w:rPr>
            </w:pPr>
            <w:r>
              <w:rPr>
                <w:rFonts w:hint="eastAsia" w:ascii="宋体" w:hAnsi="宋体"/>
                <w:color w:val="auto"/>
                <w:sz w:val="24"/>
                <w:lang w:val="en-US" w:eastAsia="zh-CN"/>
              </w:rPr>
              <w:t>游标卡尺，万用表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ascii="宋体" w:hAnsi="宋体"/>
                <w:b/>
                <w:color w:val="000000" w:themeColor="text1"/>
                <w:sz w:val="20"/>
                <w:szCs w:val="20"/>
              </w:rPr>
            </w:pPr>
            <w:r>
              <w:rPr>
                <w:rFonts w:hint="eastAsia" w:ascii="宋体" w:hAnsi="宋体"/>
                <w:b/>
                <w:color w:val="auto"/>
                <w:sz w:val="20"/>
                <w:szCs w:val="20"/>
                <w:lang w:val="en-US" w:eastAsia="zh-CN"/>
              </w:rPr>
              <w:t>产品质量</w:t>
            </w:r>
            <w:r>
              <w:rPr>
                <w:rFonts w:hint="eastAsia" w:ascii="宋体" w:hAnsi="宋体"/>
                <w:b/>
                <w:color w:val="auto"/>
                <w:sz w:val="20"/>
                <w:szCs w:val="20"/>
              </w:rPr>
              <w:t>、顾客满意、投诉处理等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rFonts w:hint="eastAsia"/>
                <w:b/>
                <w:color w:val="000000" w:themeColor="text1"/>
                <w:sz w:val="20"/>
                <w:szCs w:val="20"/>
              </w:rPr>
            </w:pPr>
            <w:r>
              <w:rPr>
                <w:b/>
                <w:color w:val="auto"/>
                <w:sz w:val="20"/>
                <w:szCs w:val="20"/>
              </w:rPr>
              <w:t>企业在</w:t>
            </w:r>
            <w:r>
              <w:rPr>
                <w:rFonts w:hint="eastAsia"/>
                <w:b/>
                <w:color w:val="auto"/>
                <w:sz w:val="20"/>
                <w:szCs w:val="20"/>
              </w:rPr>
              <w:t>20</w:t>
            </w:r>
            <w:r>
              <w:rPr>
                <w:rFonts w:hint="eastAsia"/>
                <w:b/>
                <w:color w:val="auto"/>
                <w:sz w:val="20"/>
                <w:szCs w:val="20"/>
                <w:lang w:val="en-US" w:eastAsia="zh-CN"/>
              </w:rPr>
              <w:t>19</w:t>
            </w:r>
            <w:r>
              <w:rPr>
                <w:rFonts w:hint="eastAsia"/>
                <w:b/>
                <w:color w:val="auto"/>
                <w:sz w:val="20"/>
                <w:szCs w:val="20"/>
              </w:rPr>
              <w:t>-</w:t>
            </w:r>
            <w:r>
              <w:rPr>
                <w:rFonts w:hint="eastAsia"/>
                <w:b/>
                <w:color w:val="auto"/>
                <w:sz w:val="20"/>
                <w:szCs w:val="20"/>
                <w:lang w:val="en-US" w:eastAsia="zh-CN"/>
              </w:rPr>
              <w:t>12</w:t>
            </w:r>
            <w:r>
              <w:rPr>
                <w:rFonts w:hint="eastAsia"/>
                <w:b/>
                <w:color w:val="auto"/>
                <w:sz w:val="20"/>
                <w:szCs w:val="20"/>
              </w:rPr>
              <w:t>-</w:t>
            </w:r>
            <w:r>
              <w:rPr>
                <w:rFonts w:hint="eastAsia"/>
                <w:b/>
                <w:color w:val="auto"/>
                <w:sz w:val="20"/>
                <w:szCs w:val="20"/>
                <w:lang w:val="en-US" w:eastAsia="zh-CN"/>
              </w:rPr>
              <w:t>20</w:t>
            </w:r>
            <w:r>
              <w:rPr>
                <w:b/>
                <w:color w:val="auto"/>
                <w:sz w:val="20"/>
                <w:szCs w:val="20"/>
              </w:rPr>
              <w:t>管理评审时评审管理方针与战略方向的一致性</w:t>
            </w:r>
            <w:r>
              <w:rPr>
                <w:rFonts w:hint="eastAsia"/>
                <w:b/>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b/>
                <w:color w:val="000000" w:themeColor="text1"/>
                <w:sz w:val="20"/>
                <w:szCs w:val="20"/>
              </w:rPr>
              <w:t>会议、培训、管理制度张贴</w:t>
            </w:r>
          </w:p>
          <w:p>
            <w:pPr>
              <w:spacing w:line="240" w:lineRule="exact"/>
              <w:rPr>
                <w:rFonts w:hint="eastAsia"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 xml:space="preserve">                内部沟通的效果：</w:t>
            </w:r>
            <w:r>
              <w:rPr>
                <w:rFonts w:hint="eastAsia" w:ascii="楷体_GB2312" w:eastAsia="楷体_GB2312"/>
                <w:b/>
                <w:color w:val="000000" w:themeColor="text1"/>
                <w:sz w:val="20"/>
                <w:szCs w:val="20"/>
                <w:lang w:val="en-US" w:eastAsia="zh-CN"/>
              </w:rPr>
              <w:t>较好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b/>
                <w:color w:val="auto"/>
                <w:sz w:val="20"/>
                <w:szCs w:val="20"/>
                <w:lang w:val="en-US" w:eastAsia="zh-CN"/>
              </w:rPr>
              <w:t>通过发放顾客满意度调查表、电话、微信等对顾客进行满意度调查，</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rFonts w:hint="eastAsia" w:ascii="Times New Roman" w:hAnsi="Times New Roman" w:eastAsia="宋体" w:cs="宋体"/>
                <w:szCs w:val="21"/>
                <w:lang w:val="en-US" w:eastAsia="zh-CN"/>
              </w:rPr>
            </w:pPr>
            <w:r>
              <w:rPr>
                <w:rFonts w:hint="eastAsia" w:ascii="Times New Roman" w:hAnsi="Times New Roman" w:eastAsia="宋体" w:cs="宋体"/>
                <w:szCs w:val="21"/>
                <w:lang w:val="en-US" w:eastAsia="zh-CN"/>
              </w:rPr>
              <w:t>1.软件设计开发流程：需求分析→概要设计→详细设计→软件编码→软件测试→用户验收→运行维护</w:t>
            </w:r>
          </w:p>
          <w:p>
            <w:pPr>
              <w:spacing w:line="240" w:lineRule="exact"/>
              <w:rPr>
                <w:rFonts w:hint="eastAsia" w:ascii="Times New Roman" w:hAnsi="Times New Roman" w:eastAsia="宋体" w:cs="宋体"/>
                <w:szCs w:val="21"/>
                <w:lang w:val="en-US" w:eastAsia="zh-CN"/>
              </w:rPr>
            </w:pPr>
            <w:r>
              <w:rPr>
                <w:rFonts w:hint="eastAsia" w:ascii="Times New Roman" w:hAnsi="Times New Roman" w:eastAsia="宋体" w:cs="宋体"/>
                <w:szCs w:val="21"/>
                <w:lang w:val="en-US" w:eastAsia="zh-CN"/>
              </w:rPr>
              <w:t>2.销售服务流程：顾客沟通→合同评审→签订合同→实施采购→供方送货→顾客签收→交付及售后服务</w:t>
            </w:r>
          </w:p>
          <w:p>
            <w:pPr>
              <w:spacing w:line="240" w:lineRule="exact"/>
              <w:rPr>
                <w:b/>
                <w:color w:val="000000" w:themeColor="text1"/>
                <w:sz w:val="20"/>
                <w:szCs w:val="20"/>
              </w:rPr>
            </w:pPr>
            <w:r>
              <w:rPr>
                <w:rFonts w:hint="eastAsia" w:ascii="Times New Roman" w:hAnsi="Times New Roman" w:eastAsia="宋体" w:cs="宋体"/>
                <w:szCs w:val="21"/>
                <w:lang w:val="en-US" w:eastAsia="zh-CN"/>
              </w:rPr>
              <w:t xml:space="preserve">3、安装服务流程图：柜体装配→电源接线→信号接线→通电→测试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auto"/>
                <w:sz w:val="20"/>
                <w:szCs w:val="20"/>
                <w:highlight w:val="none"/>
              </w:rPr>
            </w:pPr>
            <w:r>
              <w:rPr>
                <w:rFonts w:hint="eastAsia"/>
                <w:b/>
                <w:color w:val="auto"/>
                <w:sz w:val="20"/>
                <w:szCs w:val="20"/>
                <w:highlight w:val="none"/>
                <w:lang w:val="en-US" w:eastAsia="zh-CN"/>
              </w:rPr>
              <w:t>产品</w:t>
            </w:r>
            <w:r>
              <w:rPr>
                <w:b/>
                <w:color w:val="auto"/>
                <w:sz w:val="20"/>
                <w:szCs w:val="20"/>
                <w:highlight w:val="none"/>
              </w:rPr>
              <w:t>的质量符合顾客的要求</w:t>
            </w:r>
            <w:r>
              <w:rPr>
                <w:rFonts w:hint="eastAsia"/>
                <w:b/>
                <w:color w:val="auto"/>
                <w:sz w:val="20"/>
                <w:szCs w:val="20"/>
                <w:highlight w:val="none"/>
              </w:rPr>
              <w:t>，</w:t>
            </w:r>
            <w:r>
              <w:rPr>
                <w:b/>
                <w:color w:val="auto"/>
                <w:sz w:val="20"/>
                <w:szCs w:val="20"/>
                <w:highlight w:val="none"/>
              </w:rPr>
              <w:t>不断</w:t>
            </w:r>
            <w:r>
              <w:rPr>
                <w:rFonts w:hint="eastAsia"/>
                <w:b/>
                <w:color w:val="auto"/>
                <w:sz w:val="20"/>
                <w:szCs w:val="20"/>
                <w:highlight w:val="none"/>
              </w:rPr>
              <w:t>改进</w:t>
            </w:r>
            <w:r>
              <w:rPr>
                <w:rFonts w:hint="eastAsia"/>
                <w:b/>
                <w:color w:val="auto"/>
                <w:sz w:val="20"/>
                <w:szCs w:val="20"/>
                <w:highlight w:val="none"/>
                <w:lang w:val="en-US" w:eastAsia="zh-CN"/>
              </w:rPr>
              <w:t>产品质量</w:t>
            </w:r>
            <w:r>
              <w:rPr>
                <w:rFonts w:hint="eastAsia"/>
                <w:b/>
                <w:color w:val="auto"/>
                <w:sz w:val="20"/>
                <w:szCs w:val="20"/>
                <w:highlight w:val="none"/>
              </w:rPr>
              <w:t>；</w:t>
            </w:r>
          </w:p>
          <w:p>
            <w:pPr>
              <w:spacing w:line="240" w:lineRule="exact"/>
              <w:rPr>
                <w:b/>
                <w:color w:val="000000" w:themeColor="text1"/>
                <w:sz w:val="20"/>
                <w:szCs w:val="20"/>
              </w:rPr>
            </w:pPr>
            <w:r>
              <w:rPr>
                <w:rFonts w:hint="eastAsia"/>
                <w:b/>
                <w:color w:val="auto"/>
                <w:sz w:val="20"/>
                <w:szCs w:val="20"/>
                <w:highlight w:val="none"/>
                <w:lang w:val="en-US" w:eastAsia="zh-CN"/>
              </w:rPr>
              <w:t>根据客户要求，不断改进。</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rPr>
                <w:rFonts w:hint="default" w:eastAsia="宋体"/>
                <w:b/>
                <w:color w:val="0000FF"/>
                <w:sz w:val="20"/>
                <w:szCs w:val="20"/>
                <w:lang w:val="en-US" w:eastAsia="zh-CN"/>
              </w:rPr>
            </w:pPr>
            <w:r>
              <w:rPr>
                <w:rFonts w:hint="eastAsia"/>
                <w:b/>
                <w:color w:val="auto"/>
                <w:sz w:val="20"/>
                <w:szCs w:val="20"/>
                <w:lang w:val="en-US" w:eastAsia="zh-CN"/>
              </w:rPr>
              <w:t>按客户提要求生产，不需要第三方检验。</w:t>
            </w:r>
          </w:p>
          <w:p>
            <w:pPr>
              <w:spacing w:line="240" w:lineRule="exact"/>
              <w:ind w:firstLine="201" w:firstLineChars="100"/>
              <w:rPr>
                <w:b/>
                <w:color w:val="000000" w:themeColor="text1"/>
                <w:sz w:val="20"/>
                <w:szCs w:val="20"/>
              </w:rPr>
            </w:pP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color w:val="auto"/>
                <w:sz w:val="20"/>
                <w:szCs w:val="20"/>
              </w:rPr>
            </w:pPr>
            <w:r>
              <w:rPr>
                <w:rFonts w:hint="eastAsia"/>
                <w:color w:val="auto"/>
                <w:sz w:val="20"/>
                <w:szCs w:val="20"/>
              </w:rPr>
              <w:t>有《不合格</w:t>
            </w:r>
            <w:r>
              <w:rPr>
                <w:rFonts w:hint="eastAsia"/>
                <w:color w:val="auto"/>
                <w:sz w:val="20"/>
                <w:szCs w:val="20"/>
                <w:lang w:val="en-US" w:eastAsia="zh-CN"/>
              </w:rPr>
              <w:t>输出</w:t>
            </w:r>
            <w:r>
              <w:rPr>
                <w:rFonts w:hint="eastAsia"/>
                <w:color w:val="auto"/>
                <w:sz w:val="20"/>
                <w:szCs w:val="20"/>
              </w:rPr>
              <w:t>控制程序》</w:t>
            </w:r>
          </w:p>
          <w:p>
            <w:pPr>
              <w:spacing w:line="240" w:lineRule="exact"/>
              <w:rPr>
                <w:color w:val="auto"/>
                <w:sz w:val="20"/>
                <w:szCs w:val="20"/>
              </w:rPr>
            </w:pPr>
            <w:r>
              <w:rPr>
                <w:color w:val="auto"/>
                <w:sz w:val="20"/>
                <w:szCs w:val="20"/>
              </w:rPr>
              <w:t>不合格的原材料不予接受</w:t>
            </w:r>
            <w:r>
              <w:rPr>
                <w:rFonts w:hint="eastAsia"/>
                <w:color w:val="auto"/>
                <w:sz w:val="20"/>
                <w:szCs w:val="20"/>
              </w:rPr>
              <w:t>；</w:t>
            </w:r>
          </w:p>
          <w:p>
            <w:pPr>
              <w:spacing w:line="240" w:lineRule="exact"/>
              <w:rPr>
                <w:color w:val="auto"/>
                <w:sz w:val="20"/>
                <w:szCs w:val="20"/>
              </w:rPr>
            </w:pPr>
            <w:r>
              <w:rPr>
                <w:color w:val="auto"/>
                <w:sz w:val="20"/>
                <w:szCs w:val="20"/>
              </w:rPr>
              <w:t>不合格的半成品不继续加工</w:t>
            </w:r>
            <w:r>
              <w:rPr>
                <w:rFonts w:hint="eastAsia"/>
                <w:color w:val="auto"/>
                <w:sz w:val="20"/>
                <w:szCs w:val="20"/>
              </w:rPr>
              <w:t>；</w:t>
            </w:r>
          </w:p>
          <w:p>
            <w:pPr>
              <w:spacing w:line="240" w:lineRule="exact"/>
              <w:rPr>
                <w:b/>
                <w:color w:val="000000" w:themeColor="text1"/>
                <w:sz w:val="20"/>
                <w:szCs w:val="20"/>
              </w:rPr>
            </w:pPr>
            <w:r>
              <w:rPr>
                <w:color w:val="auto"/>
                <w:sz w:val="20"/>
                <w:szCs w:val="20"/>
              </w:rPr>
              <w:t>不合格的</w:t>
            </w:r>
            <w:r>
              <w:rPr>
                <w:rFonts w:hint="eastAsia"/>
                <w:color w:val="auto"/>
                <w:sz w:val="20"/>
                <w:szCs w:val="20"/>
                <w:lang w:val="en-US" w:eastAsia="zh-CN"/>
              </w:rPr>
              <w:t>产品</w:t>
            </w:r>
            <w:r>
              <w:rPr>
                <w:color w:val="auto"/>
                <w:sz w:val="20"/>
                <w:szCs w:val="20"/>
              </w:rPr>
              <w:t>成品</w:t>
            </w:r>
            <w:r>
              <w:rPr>
                <w:rFonts w:hint="eastAsia"/>
                <w:color w:val="auto"/>
                <w:sz w:val="20"/>
                <w:szCs w:val="20"/>
              </w:rPr>
              <w:t>不</w:t>
            </w:r>
            <w:r>
              <w:rPr>
                <w:color w:val="auto"/>
                <w:sz w:val="20"/>
                <w:szCs w:val="20"/>
              </w:rPr>
              <w:t>销售给顾客</w:t>
            </w:r>
            <w:r>
              <w:rPr>
                <w:rFonts w:hint="eastAsia"/>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pStyle w:val="16"/>
              <w:spacing w:line="340" w:lineRule="exact"/>
              <w:rPr>
                <w:rFonts w:hint="default" w:ascii="宋体" w:hAnsi="宋体"/>
                <w:sz w:val="20"/>
                <w:szCs w:val="20"/>
                <w:lang w:val="en-US" w:eastAsia="zh-CN"/>
              </w:rPr>
            </w:pPr>
            <w:r>
              <w:rPr>
                <w:rFonts w:hint="eastAsia" w:ascii="宋体" w:hAnsi="宋体"/>
                <w:sz w:val="20"/>
                <w:szCs w:val="20"/>
                <w:lang w:val="en-US" w:eastAsia="zh-CN"/>
              </w:rPr>
              <w:t>提供《2019年9-12月目标完成统计表》，目标均已完成。</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4"/>
              </w:numPr>
              <w:spacing w:line="240" w:lineRule="exact"/>
              <w:ind w:left="100" w:hanging="100" w:hangingChars="50"/>
              <w:rPr>
                <w:rFonts w:hint="eastAsia"/>
                <w:b/>
                <w:color w:val="000000" w:themeColor="text1"/>
                <w:sz w:val="20"/>
                <w:szCs w:val="20"/>
              </w:rPr>
            </w:pPr>
            <w:r>
              <w:rPr>
                <w:rFonts w:hint="eastAsia"/>
                <w:b/>
                <w:color w:val="000000" w:themeColor="text1"/>
                <w:sz w:val="20"/>
                <w:szCs w:val="20"/>
              </w:rPr>
              <w:t>顾客满意</w:t>
            </w:r>
          </w:p>
          <w:p>
            <w:pPr>
              <w:numPr>
                <w:ilvl w:val="0"/>
                <w:numId w:val="0"/>
              </w:numPr>
              <w:spacing w:line="240" w:lineRule="exact"/>
              <w:ind w:leftChars="-50"/>
              <w:rPr>
                <w:rFonts w:hint="eastAsia"/>
                <w:b/>
                <w:color w:val="000000" w:themeColor="text1"/>
                <w:sz w:val="20"/>
                <w:szCs w:val="20"/>
              </w:rPr>
            </w:pPr>
            <w:r>
              <w:rPr>
                <w:rFonts w:hint="eastAsia"/>
                <w:color w:val="auto"/>
                <w:sz w:val="20"/>
                <w:szCs w:val="20"/>
              </w:rPr>
              <w:t>及时了解顾客的感受，并不断改进。</w:t>
            </w:r>
            <w:r>
              <w:rPr>
                <w:rFonts w:hint="eastAsia"/>
                <w:color w:val="auto"/>
                <w:sz w:val="20"/>
                <w:szCs w:val="20"/>
                <w:lang w:val="en-US" w:eastAsia="zh-CN"/>
              </w:rPr>
              <w:t>今年顾客满意度95%，目标达到要求。</w:t>
            </w:r>
            <w:r>
              <w:rPr>
                <w:rFonts w:hint="eastAsia"/>
                <w:color w:val="auto"/>
                <w:sz w:val="20"/>
                <w:szCs w:val="20"/>
              </w:rPr>
              <w:t>近一年没有发生顾客投诉</w:t>
            </w:r>
            <w:r>
              <w:rPr>
                <w:rFonts w:hint="eastAsia"/>
                <w:color w:val="0000FF"/>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jc w:val="left"/>
              <w:rPr>
                <w:rFonts w:hint="eastAsia" w:ascii="宋体" w:hAnsi="宋体"/>
                <w:color w:val="auto"/>
              </w:rPr>
            </w:pPr>
            <w:r>
              <w:rPr>
                <w:rFonts w:hint="eastAsia" w:ascii="宋体" w:hAnsi="宋体"/>
                <w:color w:val="auto"/>
              </w:rPr>
              <w:t>公司提供了《内部审核控制程序》和SX-9.2-02《内审计划》</w:t>
            </w:r>
          </w:p>
          <w:p>
            <w:pPr>
              <w:jc w:val="left"/>
              <w:rPr>
                <w:rFonts w:hint="eastAsia" w:ascii="宋体" w:hAnsi="宋体"/>
                <w:color w:val="auto"/>
              </w:rPr>
            </w:pPr>
            <w:r>
              <w:rPr>
                <w:rFonts w:hint="eastAsia" w:ascii="宋体" w:hAnsi="宋体"/>
                <w:color w:val="auto"/>
              </w:rPr>
              <w:t>公司文件目前规定：内审每年不得少于一次，时间间隔为12个月内，明确了内审目的，频次、方法、职责、策划要求和报告等。</w:t>
            </w:r>
          </w:p>
          <w:p>
            <w:pPr>
              <w:jc w:val="left"/>
              <w:rPr>
                <w:rFonts w:hint="eastAsia" w:ascii="宋体" w:hAnsi="宋体"/>
                <w:color w:val="auto"/>
              </w:rPr>
            </w:pPr>
            <w:r>
              <w:rPr>
                <w:rFonts w:hint="eastAsia" w:ascii="宋体" w:hAnsi="宋体"/>
                <w:color w:val="auto"/>
              </w:rPr>
              <w:t>提供：2019年度内审计划/批准人-沈晓明</w:t>
            </w:r>
          </w:p>
          <w:p>
            <w:pPr>
              <w:jc w:val="left"/>
              <w:rPr>
                <w:rFonts w:hint="eastAsia" w:ascii="宋体" w:hAnsi="宋体"/>
                <w:color w:val="auto"/>
              </w:rPr>
            </w:pPr>
            <w:r>
              <w:rPr>
                <w:rFonts w:hint="eastAsia" w:ascii="宋体" w:hAnsi="宋体"/>
                <w:color w:val="auto"/>
              </w:rPr>
              <w:t>计划2019年12月10日至2019年12月11日份对全公司进行一次集中式内部审核，组长：骆智超   组员：史志川责相关事宜。</w:t>
            </w:r>
          </w:p>
          <w:p>
            <w:pPr>
              <w:jc w:val="left"/>
              <w:rPr>
                <w:rFonts w:hint="eastAsia" w:ascii="宋体" w:hAnsi="宋体"/>
                <w:color w:val="auto"/>
              </w:rPr>
            </w:pPr>
            <w:r>
              <w:rPr>
                <w:rFonts w:hint="eastAsia" w:ascii="宋体" w:hAnsi="宋体"/>
                <w:color w:val="auto"/>
              </w:rPr>
              <w:t>提供：内部审核实施计划</w:t>
            </w:r>
          </w:p>
          <w:p>
            <w:pPr>
              <w:jc w:val="left"/>
              <w:rPr>
                <w:rFonts w:hint="eastAsia" w:ascii="宋体" w:hAnsi="宋体"/>
                <w:color w:val="auto"/>
              </w:rPr>
            </w:pPr>
            <w:r>
              <w:rPr>
                <w:rFonts w:hint="eastAsia" w:ascii="宋体" w:hAnsi="宋体"/>
                <w:color w:val="auto"/>
              </w:rPr>
              <w:t>明确以下信息内容：审核目的、审核范围、审核依据：GB/T19001-2016，公司质量手册、程序文件和适用的法律、法规，顾客要求。审核时间：2020年02月10日至2020年02月11日、内审小组、日程安排、备注。</w:t>
            </w:r>
          </w:p>
          <w:p>
            <w:pPr>
              <w:jc w:val="left"/>
              <w:rPr>
                <w:rFonts w:hint="eastAsia" w:ascii="宋体" w:hAnsi="宋体"/>
                <w:color w:val="auto"/>
              </w:rPr>
            </w:pPr>
            <w:r>
              <w:rPr>
                <w:rFonts w:hint="eastAsia" w:ascii="宋体" w:hAnsi="宋体"/>
                <w:color w:val="auto"/>
              </w:rPr>
              <w:t>提供：《内审检查表》/按部门编制</w:t>
            </w:r>
          </w:p>
          <w:p>
            <w:pPr>
              <w:jc w:val="left"/>
              <w:rPr>
                <w:rFonts w:hint="eastAsia" w:ascii="宋体" w:hAnsi="宋体"/>
                <w:color w:val="auto"/>
              </w:rPr>
            </w:pPr>
            <w:r>
              <w:rPr>
                <w:rFonts w:hint="eastAsia" w:ascii="宋体" w:hAnsi="宋体"/>
                <w:color w:val="auto"/>
              </w:rPr>
              <w:t>检查表描述内容如下：受审核部门、审核标准条款、审核内容、审核记录、判断结果。</w:t>
            </w:r>
          </w:p>
          <w:p>
            <w:pPr>
              <w:jc w:val="left"/>
              <w:rPr>
                <w:rFonts w:hint="eastAsia" w:ascii="宋体" w:hAnsi="宋体"/>
                <w:color w:val="auto"/>
              </w:rPr>
            </w:pPr>
            <w:r>
              <w:rPr>
                <w:rFonts w:hint="eastAsia" w:ascii="宋体" w:hAnsi="宋体"/>
                <w:color w:val="auto"/>
              </w:rPr>
              <w:t>内审开1项不符合项，已整改。</w:t>
            </w:r>
          </w:p>
          <w:p>
            <w:pPr>
              <w:jc w:val="left"/>
              <w:rPr>
                <w:rFonts w:hint="eastAsia" w:ascii="宋体" w:hAnsi="宋体"/>
                <w:color w:val="auto"/>
              </w:rPr>
            </w:pPr>
            <w:r>
              <w:rPr>
                <w:rFonts w:hint="eastAsia" w:ascii="宋体" w:hAnsi="宋体"/>
                <w:color w:val="auto"/>
              </w:rPr>
              <w:t>确认：检查表确认其内容基本覆盖了被审核部门参与体系运行的条款。</w:t>
            </w:r>
          </w:p>
          <w:p>
            <w:pPr>
              <w:jc w:val="left"/>
              <w:rPr>
                <w:b/>
                <w:color w:val="000000" w:themeColor="text1"/>
                <w:sz w:val="20"/>
                <w:szCs w:val="20"/>
              </w:rPr>
            </w:pPr>
            <w:r>
              <w:rPr>
                <w:rFonts w:hint="eastAsia" w:ascii="宋体" w:hAnsi="宋体"/>
                <w:color w:val="auto"/>
              </w:rPr>
              <w:t>组织的管理评审基本规范、有效。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jc w:val="left"/>
              <w:rPr>
                <w:color w:val="auto"/>
              </w:rPr>
            </w:pPr>
            <w:r>
              <w:rPr>
                <w:rFonts w:hint="eastAsia"/>
                <w:color w:val="auto"/>
              </w:rPr>
              <w:t>对组织的质量管理体系进行了评审，以确保其持续的适宜性、充分性和有效性。具体情况：</w:t>
            </w:r>
            <w:r>
              <w:rPr>
                <w:rFonts w:hint="eastAsia" w:ascii="宋体" w:hAnsi="宋体"/>
                <w:sz w:val="24"/>
                <w:lang w:val="en-US" w:eastAsia="zh-CN"/>
              </w:rPr>
              <w:t>2019-12-20</w:t>
            </w:r>
            <w:r>
              <w:rPr>
                <w:rFonts w:hint="eastAsia" w:ascii="宋体" w:hAnsi="宋体"/>
                <w:color w:val="auto"/>
              </w:rPr>
              <w:t>由总经理沈晓明先生主持召开了管理评审，评审时涵盖了审核结果、报怨和缺陷分析、过程业绩、已实施的纠正预防措施、目标达成情况、客户满意调查结果等，并对评审输出的结果规定了其措施、完成时间和责任者，这些评审输出得到了有效的实施并反映在方针和目标中。评审结果在公司内得到了沟通并传递到相关责任者。</w:t>
            </w:r>
          </w:p>
          <w:p>
            <w:pPr>
              <w:rPr>
                <w:color w:val="auto"/>
              </w:rPr>
            </w:pPr>
            <w:r>
              <w:rPr>
                <w:rFonts w:hint="eastAsia"/>
                <w:color w:val="auto"/>
              </w:rPr>
              <w:t>针对内审发现的问题或投诉的问题，及时制定并实施了有效的持续改进。</w:t>
            </w:r>
          </w:p>
          <w:p>
            <w:pPr>
              <w:spacing w:line="240" w:lineRule="exact"/>
              <w:rPr>
                <w:b/>
                <w:color w:val="000000" w:themeColor="text1"/>
                <w:sz w:val="20"/>
                <w:szCs w:val="20"/>
              </w:rPr>
            </w:pPr>
            <w:r>
              <w:rPr>
                <w:rFonts w:hint="eastAsia"/>
                <w:color w:val="auto"/>
              </w:rPr>
              <w:t>组织的管理评审基本规范、有效。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b/>
                <w:color w:val="000000" w:themeColor="text1"/>
                <w:sz w:val="20"/>
                <w:szCs w:val="20"/>
              </w:rPr>
              <w:t>针对内审的不符合项采取了纠正措施</w:t>
            </w:r>
            <w:r>
              <w:rPr>
                <w:rFonts w:hint="eastAsia"/>
                <w:b/>
                <w:color w:val="000000" w:themeColor="text1"/>
                <w:sz w:val="20"/>
                <w:szCs w:val="20"/>
              </w:rPr>
              <w:t>。没有再次发生。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auto"/>
                <w:spacing w:val="-20"/>
                <w:sz w:val="20"/>
                <w:szCs w:val="20"/>
              </w:rPr>
              <w:t>提出的</w:t>
            </w:r>
            <w:r>
              <w:rPr>
                <w:rFonts w:hint="eastAsia"/>
                <w:b/>
                <w:color w:val="auto"/>
                <w:spacing w:val="-20"/>
                <w:sz w:val="20"/>
                <w:szCs w:val="20"/>
                <w:lang w:val="en-US" w:eastAsia="zh-CN"/>
              </w:rPr>
              <w:t>3</w:t>
            </w:r>
            <w:r>
              <w:rPr>
                <w:rFonts w:hint="eastAsia"/>
                <w:b/>
                <w:color w:val="auto"/>
                <w:spacing w:val="-20"/>
                <w:sz w:val="20"/>
                <w:szCs w:val="20"/>
              </w:rPr>
              <w:t>项问题，</w:t>
            </w:r>
            <w:r>
              <w:rPr>
                <w:rFonts w:hint="eastAsia"/>
                <w:b/>
                <w:color w:val="auto"/>
                <w:spacing w:val="-20"/>
                <w:sz w:val="20"/>
                <w:szCs w:val="20"/>
                <w:lang w:val="en-US" w:eastAsia="zh-CN"/>
              </w:rPr>
              <w:t>2</w:t>
            </w:r>
            <w:r>
              <w:rPr>
                <w:rFonts w:hint="eastAsia"/>
                <w:b/>
                <w:color w:val="auto"/>
                <w:spacing w:val="-20"/>
                <w:sz w:val="20"/>
                <w:szCs w:val="20"/>
              </w:rPr>
              <w:t>项已整改</w:t>
            </w:r>
            <w:r>
              <w:rPr>
                <w:rFonts w:hint="eastAsia"/>
                <w:b/>
                <w:color w:val="auto"/>
                <w:spacing w:val="-20"/>
                <w:sz w:val="20"/>
                <w:szCs w:val="20"/>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240" w:lineRule="exact"/>
              <w:ind w:left="100" w:leftChars="0" w:hanging="100" w:hangingChars="50"/>
              <w:rPr>
                <w:rFonts w:hint="eastAsia"/>
                <w:b/>
                <w:color w:val="000000" w:themeColor="text1"/>
                <w:sz w:val="20"/>
                <w:szCs w:val="20"/>
              </w:rPr>
            </w:pPr>
            <w:r>
              <w:rPr>
                <w:rFonts w:hint="eastAsia"/>
                <w:b/>
                <w:color w:val="000000" w:themeColor="text1"/>
                <w:sz w:val="20"/>
                <w:szCs w:val="20"/>
              </w:rPr>
              <w:t>创新情况</w:t>
            </w:r>
          </w:p>
          <w:p>
            <w:pPr>
              <w:numPr>
                <w:ilvl w:val="0"/>
                <w:numId w:val="0"/>
              </w:numPr>
              <w:spacing w:line="240" w:lineRule="exact"/>
              <w:rPr>
                <w:rFonts w:hint="eastAsia"/>
                <w:b/>
                <w:color w:val="000000" w:themeColor="text1"/>
                <w:sz w:val="20"/>
                <w:szCs w:val="20"/>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240" w:lineRule="exact"/>
              <w:ind w:left="105" w:leftChars="0" w:hanging="105" w:hangingChars="50"/>
              <w:rPr>
                <w:rFonts w:hint="eastAsia"/>
                <w:b/>
                <w:color w:val="000000" w:themeColor="text1"/>
                <w:szCs w:val="21"/>
              </w:rPr>
            </w:pPr>
            <w:r>
              <w:rPr>
                <w:rFonts w:hint="eastAsia"/>
                <w:b/>
                <w:color w:val="000000" w:themeColor="text1"/>
                <w:szCs w:val="21"/>
              </w:rPr>
              <w:t>上次不符合的整改情况（再认证填写）</w:t>
            </w:r>
          </w:p>
          <w:p>
            <w:pPr>
              <w:numPr>
                <w:ilvl w:val="0"/>
                <w:numId w:val="0"/>
              </w:numPr>
              <w:spacing w:line="240" w:lineRule="exact"/>
              <w:ind w:leftChars="-50"/>
              <w:rPr>
                <w:rFonts w:hint="eastAsia" w:eastAsia="宋体"/>
                <w:b/>
                <w:color w:val="000000" w:themeColor="text1"/>
                <w:szCs w:val="21"/>
                <w:lang w:val="en-US" w:eastAsia="zh-CN"/>
              </w:rPr>
            </w:pPr>
            <w:r>
              <w:rPr>
                <w:rFonts w:hint="eastAsia"/>
                <w:b/>
                <w:color w:val="000000" w:themeColor="text1"/>
                <w:szCs w:val="21"/>
                <w:lang w:val="en-US" w:eastAsia="zh-CN"/>
              </w:rPr>
              <w:t>不涉及</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rPr>
          <w:rFonts w:hint="default" w:eastAsia="宋体"/>
          <w:sz w:val="21"/>
          <w:szCs w:val="21"/>
          <w:lang w:val="en-US" w:eastAsia="zh-CN"/>
        </w:rPr>
        <w:drawing>
          <wp:anchor distT="0" distB="0" distL="114300" distR="114300" simplePos="0" relativeHeight="251664384" behindDoc="0" locked="0" layoutInCell="1" allowOverlap="1">
            <wp:simplePos x="0" y="0"/>
            <wp:positionH relativeFrom="column">
              <wp:posOffset>1934845</wp:posOffset>
            </wp:positionH>
            <wp:positionV relativeFrom="paragraph">
              <wp:posOffset>227965</wp:posOffset>
            </wp:positionV>
            <wp:extent cx="514350" cy="276225"/>
            <wp:effectExtent l="0" t="0" r="0" b="9525"/>
            <wp:wrapSquare wrapText="bothSides"/>
            <wp:docPr id="3"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585441541"/>
                    <pic:cNvPicPr>
                      <a:picLocks noChangeAspect="1"/>
                    </pic:cNvPicPr>
                  </pic:nvPicPr>
                  <pic:blipFill>
                    <a:blip r:embed="rId6"/>
                    <a:srcRect t="12820" b="12820"/>
                    <a:stretch>
                      <a:fillRect/>
                    </a:stretch>
                  </pic:blipFill>
                  <pic:spPr>
                    <a:xfrm>
                      <a:off x="0" y="0"/>
                      <a:ext cx="514350" cy="276225"/>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drawing>
          <wp:anchor distT="0" distB="0" distL="114300" distR="114300" simplePos="0" relativeHeight="251701248" behindDoc="0" locked="0" layoutInCell="1" allowOverlap="1">
            <wp:simplePos x="0" y="0"/>
            <wp:positionH relativeFrom="column">
              <wp:posOffset>3002915</wp:posOffset>
            </wp:positionH>
            <wp:positionV relativeFrom="paragraph">
              <wp:posOffset>161925</wp:posOffset>
            </wp:positionV>
            <wp:extent cx="756285" cy="323850"/>
            <wp:effectExtent l="0" t="0" r="5715" b="0"/>
            <wp:wrapSquare wrapText="bothSides"/>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rcRect t="19048"/>
                    <a:stretch>
                      <a:fillRect/>
                    </a:stretch>
                  </pic:blipFill>
                  <pic:spPr>
                    <a:xfrm>
                      <a:off x="0" y="0"/>
                      <a:ext cx="756285" cy="323850"/>
                    </a:xfrm>
                    <a:prstGeom prst="rect">
                      <a:avLst/>
                    </a:prstGeom>
                    <a:noFill/>
                    <a:ln>
                      <a:noFill/>
                    </a:ln>
                  </pic:spPr>
                </pic:pic>
              </a:graphicData>
            </a:graphic>
          </wp:anchor>
        </w:drawing>
      </w:r>
      <w:r>
        <w:rPr>
          <w:rFonts w:hint="eastAsia" w:eastAsia="宋体"/>
          <w:sz w:val="21"/>
          <w:szCs w:val="21"/>
          <w:lang w:eastAsia="zh-CN"/>
        </w:rPr>
        <w:drawing>
          <wp:anchor distT="0" distB="0" distL="114300" distR="114300" simplePos="0" relativeHeight="251676672" behindDoc="1" locked="0" layoutInCell="1" allowOverlap="1">
            <wp:simplePos x="0" y="0"/>
            <wp:positionH relativeFrom="column">
              <wp:posOffset>1663065</wp:posOffset>
            </wp:positionH>
            <wp:positionV relativeFrom="paragraph">
              <wp:posOffset>132715</wp:posOffset>
            </wp:positionV>
            <wp:extent cx="915035" cy="316865"/>
            <wp:effectExtent l="0" t="0" r="18415" b="6985"/>
            <wp:wrapTight wrapText="bothSides">
              <wp:wrapPolygon>
                <wp:start x="0" y="0"/>
                <wp:lineTo x="0" y="20085"/>
                <wp:lineTo x="21135" y="20085"/>
                <wp:lineTo x="21135" y="0"/>
                <wp:lineTo x="0" y="0"/>
              </wp:wrapPolygon>
            </wp:wrapTight>
            <wp:docPr id="4" name="图片 4" descr="15854435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85443502(1)"/>
                    <pic:cNvPicPr>
                      <a:picLocks noChangeAspect="1"/>
                    </pic:cNvPicPr>
                  </pic:nvPicPr>
                  <pic:blipFill>
                    <a:blip r:embed="rId8"/>
                    <a:stretch>
                      <a:fillRect/>
                    </a:stretch>
                  </pic:blipFill>
                  <pic:spPr>
                    <a:xfrm>
                      <a:off x="0" y="0"/>
                      <a:ext cx="915035" cy="316865"/>
                    </a:xfrm>
                    <a:prstGeom prst="rect">
                      <a:avLst/>
                    </a:prstGeom>
                    <a:noFill/>
                    <a:ln>
                      <a:noFill/>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24</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2</w:t>
      </w:r>
      <w:r>
        <w:rPr>
          <w:rFonts w:hint="eastAsia"/>
          <w:b/>
          <w:color w:val="000000" w:themeColor="text1"/>
          <w:szCs w:val="21"/>
        </w:rPr>
        <w:t xml:space="preserve"> )个一般不符合，(</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3</w:t>
      </w:r>
      <w:r>
        <w:rPr>
          <w:rFonts w:hint="eastAsia"/>
          <w:b/>
          <w:color w:val="000000" w:themeColor="text1"/>
          <w:szCs w:val="21"/>
        </w:rPr>
        <w:t>月</w:t>
      </w:r>
      <w:r>
        <w:rPr>
          <w:rFonts w:hint="eastAsia"/>
          <w:b/>
          <w:color w:val="000000" w:themeColor="text1"/>
          <w:szCs w:val="21"/>
          <w:lang w:val="en-US" w:eastAsia="zh-CN"/>
        </w:rPr>
        <w:t>24</w:t>
      </w:r>
      <w:r>
        <w:rPr>
          <w:rFonts w:hint="eastAsia"/>
          <w:b/>
          <w:color w:val="000000" w:themeColor="text1"/>
          <w:szCs w:val="21"/>
        </w:rPr>
        <w:t>日</w:t>
      </w:r>
    </w:p>
    <w:p>
      <w:pPr>
        <w:spacing w:line="360" w:lineRule="auto"/>
        <w:ind w:left="-4" w:leftChars="-405" w:hanging="846" w:hangingChars="403"/>
        <w:rPr>
          <w:rFonts w:hint="eastAsia"/>
          <w:b/>
          <w:color w:val="000000" w:themeColor="text1"/>
        </w:rPr>
      </w:pPr>
      <w:r>
        <w:rPr>
          <w:rFonts w:hint="default" w:eastAsia="宋体"/>
          <w:sz w:val="21"/>
          <w:szCs w:val="21"/>
          <w:lang w:val="en-US" w:eastAsia="zh-CN"/>
        </w:rPr>
        <w:drawing>
          <wp:anchor distT="0" distB="0" distL="114300" distR="114300" simplePos="0" relativeHeight="251772928" behindDoc="0" locked="0" layoutInCell="1" allowOverlap="1">
            <wp:simplePos x="0" y="0"/>
            <wp:positionH relativeFrom="column">
              <wp:posOffset>829945</wp:posOffset>
            </wp:positionH>
            <wp:positionV relativeFrom="paragraph">
              <wp:posOffset>46990</wp:posOffset>
            </wp:positionV>
            <wp:extent cx="514350" cy="276225"/>
            <wp:effectExtent l="0" t="0" r="0" b="9525"/>
            <wp:wrapSquare wrapText="bothSides"/>
            <wp:docPr id="7"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1585441541"/>
                    <pic:cNvPicPr>
                      <a:picLocks noChangeAspect="1"/>
                    </pic:cNvPicPr>
                  </pic:nvPicPr>
                  <pic:blipFill>
                    <a:blip r:embed="rId6"/>
                    <a:srcRect t="12820" b="12820"/>
                    <a:stretch>
                      <a:fillRect/>
                    </a:stretch>
                  </pic:blipFill>
                  <pic:spPr>
                    <a:xfrm>
                      <a:off x="0" y="0"/>
                      <a:ext cx="514350" cy="276225"/>
                    </a:xfrm>
                    <a:prstGeom prst="rect">
                      <a:avLst/>
                    </a:prstGeom>
                    <a:noFill/>
                    <a:ln>
                      <a:noFill/>
                    </a:ln>
                  </pic:spPr>
                </pic:pic>
              </a:graphicData>
            </a:graphic>
          </wp:anchor>
        </w:drawing>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1"/>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6A0E5"/>
    <w:multiLevelType w:val="singleLevel"/>
    <w:tmpl w:val="3266A0E5"/>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5EA0C1"/>
    <w:multiLevelType w:val="singleLevel"/>
    <w:tmpl w:val="515EA0C1"/>
    <w:lvl w:ilvl="0" w:tentative="0">
      <w:start w:val="2"/>
      <w:numFmt w:val="decimal"/>
      <w:lvlText w:val="%1."/>
      <w:lvlJc w:val="left"/>
      <w:pPr>
        <w:tabs>
          <w:tab w:val="left" w:pos="312"/>
        </w:tabs>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BC36387"/>
    <w:rsid w:val="385C5521"/>
    <w:rsid w:val="7F6D15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No Spacing"/>
    <w:qFormat/>
    <w:uiPriority w:val="0"/>
    <w:pPr>
      <w:widowControl w:val="0"/>
      <w:adjustRightInd w:val="0"/>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2</TotalTime>
  <ScaleCrop>false</ScaleCrop>
  <LinksUpToDate>false</LinksUpToDate>
  <CharactersWithSpaces>5143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Administrator</cp:lastModifiedBy>
  <cp:lastPrinted>2019-05-13T03:19:00Z</cp:lastPrinted>
  <dcterms:modified xsi:type="dcterms:W3CDTF">2020-04-03T05:15:59Z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