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附1:</w:t>
      </w:r>
    </w:p>
    <w:p>
      <w:pPr>
        <w:pStyle w:val="3"/>
        <w:spacing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kern w:val="0"/>
          <w:sz w:val="28"/>
          <w:szCs w:val="28"/>
          <w:lang w:eastAsia="zh-CN"/>
        </w:rPr>
        <w:t>0.</w:t>
      </w:r>
      <w:r>
        <w:rPr>
          <w:rFonts w:hint="eastAsia"/>
          <w:b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kern w:val="0"/>
          <w:sz w:val="28"/>
          <w:szCs w:val="28"/>
          <w:lang w:eastAsia="zh-CN"/>
        </w:rPr>
        <w:t>级（</w:t>
      </w:r>
      <w:r>
        <w:rPr>
          <w:rFonts w:hint="eastAsia"/>
          <w:b/>
          <w:bCs/>
          <w:kern w:val="0"/>
          <w:sz w:val="28"/>
          <w:szCs w:val="28"/>
          <w:lang w:val="en-US" w:eastAsia="zh-CN"/>
        </w:rPr>
        <w:t>0-4</w:t>
      </w:r>
      <w:r>
        <w:rPr>
          <w:rFonts w:hint="eastAsia"/>
          <w:b/>
          <w:bCs/>
          <w:kern w:val="0"/>
          <w:sz w:val="28"/>
          <w:szCs w:val="28"/>
          <w:lang w:eastAsia="zh-CN"/>
        </w:rPr>
        <w:t>）</w:t>
      </w:r>
      <w:r>
        <w:rPr>
          <w:rFonts w:hint="eastAsia"/>
          <w:b/>
          <w:bCs/>
          <w:kern w:val="0"/>
          <w:sz w:val="28"/>
          <w:szCs w:val="28"/>
          <w:lang w:val="en-US" w:eastAsia="zh-CN"/>
        </w:rPr>
        <w:t>MPa</w:t>
      </w:r>
      <w:r>
        <w:rPr>
          <w:rFonts w:hint="eastAsia"/>
          <w:b/>
          <w:bCs/>
          <w:kern w:val="0"/>
          <w:sz w:val="28"/>
          <w:szCs w:val="28"/>
          <w:lang w:eastAsia="zh-CN"/>
        </w:rPr>
        <w:t>压力变送器示值误差测量过程</w:t>
      </w:r>
      <w:r>
        <w:rPr>
          <w:b/>
          <w:bCs/>
          <w:color w:val="000000"/>
          <w:sz w:val="28"/>
          <w:szCs w:val="28"/>
        </w:rPr>
        <w:t>测量不确定度评定报告</w:t>
      </w:r>
    </w:p>
    <w:p>
      <w:pPr>
        <w:pStyle w:val="2"/>
        <w:widowControl/>
        <w:shd w:val="clear" w:color="auto" w:fill="FFFFFF"/>
        <w:spacing w:before="0" w:beforeAutospacing="0" w:after="0" w:afterAutospacing="0" w:line="360" w:lineRule="auto"/>
        <w:rPr>
          <w:rFonts w:hint="default" w:ascii="Times New Roman" w:hAnsi="Times New Roman"/>
          <w:b w:val="0"/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1、测量过程</w:t>
      </w:r>
      <w:r>
        <w:rPr>
          <w:color w:val="000000"/>
          <w:sz w:val="21"/>
          <w:szCs w:val="21"/>
        </w:rPr>
        <w:br w:type="textWrapping"/>
      </w:r>
      <w:r>
        <w:rPr>
          <w:b w:val="0"/>
          <w:bCs/>
          <w:color w:val="000000"/>
          <w:sz w:val="21"/>
          <w:szCs w:val="21"/>
        </w:rPr>
        <w:t>1.1测量方法：</w:t>
      </w:r>
      <w:r>
        <w:rPr>
          <w:rFonts w:hint="eastAsia" w:ascii="Times New Roman" w:hAnsi="Times New Roman"/>
          <w:b w:val="0"/>
          <w:bCs/>
          <w:sz w:val="21"/>
          <w:szCs w:val="21"/>
          <w:lang w:val="en-US" w:eastAsia="zh-CN"/>
        </w:rPr>
        <w:t>JJG882-2019</w:t>
      </w:r>
      <w:r>
        <w:rPr>
          <w:rFonts w:ascii="Times New Roman" w:hAnsi="Times New Roman"/>
          <w:b w:val="0"/>
          <w:bCs/>
          <w:sz w:val="21"/>
          <w:szCs w:val="21"/>
        </w:rPr>
        <w:t>《</w:t>
      </w:r>
      <w:r>
        <w:rPr>
          <w:rFonts w:hint="eastAsia" w:ascii="Times New Roman" w:hAnsi="Times New Roman"/>
          <w:b w:val="0"/>
          <w:bCs/>
          <w:sz w:val="21"/>
          <w:szCs w:val="21"/>
        </w:rPr>
        <w:t>压力变送器</w:t>
      </w:r>
      <w:r>
        <w:rPr>
          <w:rFonts w:hint="eastAsia" w:ascii="Times New Roman" w:hAnsi="Times New Roman"/>
          <w:b w:val="0"/>
          <w:bCs/>
          <w:sz w:val="21"/>
          <w:szCs w:val="21"/>
          <w:lang w:val="en-US" w:eastAsia="zh-CN"/>
        </w:rPr>
        <w:t>检定规程</w:t>
      </w:r>
      <w:r>
        <w:rPr>
          <w:rFonts w:ascii="Times New Roman" w:hAnsi="Times New Roman"/>
          <w:b w:val="0"/>
          <w:bCs/>
          <w:sz w:val="21"/>
          <w:szCs w:val="21"/>
        </w:rPr>
        <w:t>》</w:t>
      </w:r>
      <w:r>
        <w:rPr>
          <w:b w:val="0"/>
          <w:bCs/>
          <w:sz w:val="21"/>
          <w:szCs w:val="21"/>
        </w:rPr>
        <w:t>、</w:t>
      </w:r>
      <w:r>
        <w:rPr>
          <w:rFonts w:ascii="Times New Roman" w:hAnsi="Times New Roman"/>
          <w:b w:val="0"/>
          <w:bCs/>
          <w:sz w:val="21"/>
          <w:szCs w:val="21"/>
        </w:rPr>
        <w:t>作业文件</w:t>
      </w:r>
      <w:r>
        <w:rPr>
          <w:b w:val="0"/>
          <w:bCs/>
          <w:color w:val="000000"/>
          <w:sz w:val="21"/>
          <w:szCs w:val="21"/>
        </w:rPr>
        <w:t>及仪器使用说明书和相关操作规范。</w:t>
      </w:r>
      <w:r>
        <w:rPr>
          <w:rFonts w:hint="default" w:ascii="Times New Roman" w:hAnsi="Times New Roman"/>
          <w:b w:val="0"/>
          <w:bCs/>
          <w:color w:val="000000"/>
          <w:sz w:val="21"/>
          <w:szCs w:val="21"/>
        </w:rPr>
        <w:t>　</w:t>
      </w:r>
    </w:p>
    <w:p>
      <w:pPr>
        <w:spacing w:line="360" w:lineRule="auto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1.2环境条件：</w:t>
      </w:r>
      <w:r>
        <w:rPr>
          <w:rFonts w:hint="eastAsia"/>
          <w:kern w:val="0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℃</w:t>
      </w:r>
      <w:r>
        <w:rPr>
          <w:rFonts w:hint="eastAsia" w:ascii="宋体" w:hAnsi="宋体" w:eastAsia="宋体" w:cs="宋体"/>
          <w:kern w:val="0"/>
          <w:szCs w:val="21"/>
        </w:rPr>
        <w:t>±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℃</w:t>
      </w:r>
      <w:r>
        <w:rPr>
          <w:color w:val="000000" w:themeColor="text1"/>
          <w:szCs w:val="21"/>
        </w:rPr>
        <w:t>。</w:t>
      </w:r>
    </w:p>
    <w:p>
      <w:pPr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1.3检测设备：</w:t>
      </w:r>
      <w:r>
        <w:rPr>
          <w:rFonts w:hint="eastAsia"/>
          <w:kern w:val="0"/>
          <w:szCs w:val="21"/>
          <w:lang w:eastAsia="zh-CN"/>
        </w:rPr>
        <w:t>数字压力控制器</w:t>
      </w:r>
      <w:r>
        <w:rPr>
          <w:szCs w:val="21"/>
        </w:rPr>
        <w:t>，测量范围</w:t>
      </w:r>
      <w:r>
        <w:rPr>
          <w:sz w:val="20"/>
          <w:szCs w:val="20"/>
        </w:rPr>
        <w:t>（0-</w:t>
      </w:r>
      <w:r>
        <w:rPr>
          <w:rFonts w:hint="eastAsia"/>
          <w:sz w:val="20"/>
          <w:szCs w:val="20"/>
          <w:lang w:val="en-US" w:eastAsia="zh-CN"/>
        </w:rPr>
        <w:t>6</w:t>
      </w:r>
      <w:r>
        <w:rPr>
          <w:sz w:val="20"/>
          <w:szCs w:val="20"/>
        </w:rPr>
        <w:t>）</w:t>
      </w:r>
      <w:r>
        <w:rPr>
          <w:rFonts w:hint="eastAsia"/>
          <w:sz w:val="20"/>
          <w:szCs w:val="20"/>
          <w:lang w:eastAsia="zh-CN"/>
        </w:rPr>
        <w:t>MPa</w:t>
      </w:r>
      <w:r>
        <w:rPr>
          <w:bCs/>
          <w:szCs w:val="21"/>
        </w:rPr>
        <w:t>，</w:t>
      </w:r>
      <w:r>
        <w:rPr>
          <w:rFonts w:hint="eastAsia"/>
          <w:sz w:val="20"/>
          <w:szCs w:val="20"/>
          <w:lang w:val="en-US" w:eastAsia="zh-CN"/>
        </w:rPr>
        <w:t>在4</w:t>
      </w:r>
      <w:r>
        <w:rPr>
          <w:rFonts w:hint="eastAsia"/>
        </w:rPr>
        <w:t>MPa</w:t>
      </w:r>
      <w:r>
        <w:rPr>
          <w:rFonts w:hint="eastAsia"/>
          <w:sz w:val="20"/>
          <w:szCs w:val="20"/>
          <w:lang w:val="en-US" w:eastAsia="zh-CN"/>
        </w:rPr>
        <w:t>这一点</w:t>
      </w:r>
      <w:r>
        <w:rPr>
          <w:rFonts w:hint="eastAsia"/>
          <w:sz w:val="20"/>
          <w:szCs w:val="20"/>
        </w:rPr>
        <w:t>误差：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</w:rPr>
        <w:t>±</w:t>
      </w:r>
      <w:r>
        <w:rPr>
          <w:rFonts w:hint="eastAsia"/>
          <w:kern w:val="0"/>
          <w:szCs w:val="21"/>
          <w:lang w:val="en-US" w:eastAsia="zh-CN"/>
        </w:rPr>
        <w:t>0.0008</w:t>
      </w:r>
      <w:r>
        <w:rPr>
          <w:rFonts w:hint="eastAsia"/>
        </w:rPr>
        <w:t>MPa</w:t>
      </w:r>
      <w:r>
        <w:rPr>
          <w:bCs/>
          <w:szCs w:val="21"/>
        </w:rPr>
        <w:t>。</w:t>
      </w:r>
    </w:p>
    <w:p>
      <w:pPr>
        <w:spacing w:line="360" w:lineRule="auto"/>
        <w:rPr>
          <w:color w:val="000000" w:themeColor="text1"/>
          <w:szCs w:val="21"/>
        </w:rPr>
      </w:pPr>
      <w:r>
        <w:rPr>
          <w:szCs w:val="21"/>
        </w:rPr>
        <w:t>1.4被测对象：</w:t>
      </w:r>
      <w:r>
        <w:rPr>
          <w:rFonts w:hint="eastAsia"/>
          <w:kern w:val="0"/>
          <w:szCs w:val="21"/>
          <w:lang w:eastAsia="zh-CN"/>
        </w:rPr>
        <w:t>压力变送器示值误差</w:t>
      </w:r>
      <w:r>
        <w:rPr>
          <w:rFonts w:hint="eastAsia"/>
          <w:kern w:val="0"/>
          <w:szCs w:val="21"/>
        </w:rPr>
        <w:t>：</w:t>
      </w:r>
      <w:r>
        <w:rPr>
          <w:rFonts w:hint="eastAsia"/>
          <w:bCs/>
          <w:kern w:val="0"/>
          <w:szCs w:val="21"/>
        </w:rPr>
        <w:t>（</w:t>
      </w:r>
      <w:r>
        <w:rPr>
          <w:rFonts w:hint="eastAsia"/>
          <w:bCs/>
          <w:kern w:val="0"/>
          <w:szCs w:val="21"/>
          <w:lang w:val="en-US" w:eastAsia="zh-CN"/>
        </w:rPr>
        <w:t>4</w:t>
      </w:r>
      <w:r>
        <w:rPr>
          <w:rFonts w:hint="eastAsia" w:ascii="宋体" w:hAnsi="宋体"/>
          <w:sz w:val="22"/>
        </w:rPr>
        <w:t>±</w:t>
      </w:r>
      <w:r>
        <w:rPr>
          <w:rFonts w:hint="eastAsia"/>
          <w:bCs/>
          <w:kern w:val="0"/>
          <w:szCs w:val="21"/>
        </w:rPr>
        <w:t>0</w:t>
      </w:r>
      <w:r>
        <w:rPr>
          <w:bCs/>
          <w:kern w:val="0"/>
          <w:szCs w:val="21"/>
        </w:rPr>
        <w:t>.</w:t>
      </w:r>
      <w:r>
        <w:rPr>
          <w:rFonts w:hint="eastAsia"/>
          <w:bCs/>
          <w:kern w:val="0"/>
          <w:szCs w:val="21"/>
          <w:lang w:val="en-US" w:eastAsia="zh-CN"/>
        </w:rPr>
        <w:t>02</w:t>
      </w:r>
      <w:r>
        <w:rPr>
          <w:rFonts w:hint="eastAsia"/>
          <w:bCs/>
          <w:kern w:val="0"/>
          <w:szCs w:val="21"/>
        </w:rPr>
        <w:t>）</w:t>
      </w:r>
      <w:r>
        <w:rPr>
          <w:rFonts w:hint="eastAsia"/>
          <w:bCs/>
          <w:kern w:val="0"/>
          <w:szCs w:val="21"/>
          <w:lang w:eastAsia="zh-CN"/>
        </w:rPr>
        <w:t>MPa</w:t>
      </w:r>
      <w:r>
        <w:rPr>
          <w:sz w:val="20"/>
          <w:szCs w:val="20"/>
        </w:rPr>
        <w:t xml:space="preserve"> </w:t>
      </w:r>
    </w:p>
    <w:p>
      <w:pPr>
        <w:snapToGrid w:val="0"/>
        <w:spacing w:line="360" w:lineRule="auto"/>
        <w:rPr>
          <w:rFonts w:hint="eastAsia" w:ascii="Arial" w:hAnsi="Arial" w:cs="Arial"/>
          <w:color w:val="333333"/>
          <w:szCs w:val="21"/>
          <w:shd w:val="clear" w:color="auto" w:fill="FFFFFF"/>
          <w:lang w:eastAsia="zh-CN"/>
        </w:rPr>
      </w:pPr>
      <w:r>
        <w:rPr>
          <w:color w:val="000000" w:themeColor="text1"/>
          <w:szCs w:val="21"/>
        </w:rPr>
        <w:t>1.5测量过程：</w:t>
      </w:r>
      <w:bookmarkStart w:id="0" w:name="_Hlk80542933"/>
      <w:r>
        <w:rPr>
          <w:rFonts w:ascii="Arial" w:hAnsi="Arial" w:cs="Arial"/>
          <w:color w:val="333333"/>
          <w:szCs w:val="21"/>
          <w:shd w:val="clear" w:color="auto" w:fill="FFFFFF"/>
        </w:rPr>
        <w:t>用</w:t>
      </w:r>
      <w:r>
        <w:rPr>
          <w:rFonts w:hint="eastAsia" w:ascii="Arial" w:hAnsi="Arial" w:cs="Arial"/>
          <w:color w:val="333333"/>
          <w:szCs w:val="21"/>
          <w:shd w:val="clear" w:color="auto" w:fill="FFFFFF"/>
          <w:lang w:eastAsia="zh-CN"/>
        </w:rPr>
        <w:t>数字压力控制器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对</w:t>
      </w:r>
      <w:r>
        <w:rPr>
          <w:rFonts w:hint="eastAsia" w:ascii="Arial" w:hAnsi="Arial" w:cs="Arial"/>
          <w:color w:val="333333"/>
          <w:szCs w:val="21"/>
          <w:shd w:val="clear" w:color="auto" w:fill="FFFFFF"/>
          <w:lang w:val="en-US" w:eastAsia="zh-CN"/>
        </w:rPr>
        <w:t>压力变送器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直接进行测量</w:t>
      </w:r>
      <w:bookmarkEnd w:id="0"/>
      <w:r>
        <w:rPr>
          <w:rFonts w:hint="eastAsia" w:ascii="Arial" w:hAnsi="Arial" w:cs="Arial"/>
          <w:color w:val="333333"/>
          <w:szCs w:val="21"/>
          <w:shd w:val="clear" w:color="auto" w:fill="FFFFFF"/>
          <w:lang w:eastAsia="zh-CN"/>
        </w:rPr>
        <w:t>。</w:t>
      </w:r>
    </w:p>
    <w:p>
      <w:pPr>
        <w:snapToGrid w:val="0"/>
        <w:spacing w:line="360" w:lineRule="auto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2、数学模型</w:t>
      </w:r>
    </w:p>
    <w:p>
      <w:pPr>
        <w:snapToGrid w:val="0"/>
        <w:spacing w:line="360" w:lineRule="auto"/>
        <w:ind w:firstLine="1687" w:firstLineChars="800"/>
        <w:rPr>
          <w:color w:val="000000"/>
          <w:szCs w:val="21"/>
        </w:rPr>
      </w:pPr>
      <w:r>
        <w:rPr>
          <w:b/>
          <w:bCs/>
          <w:color w:val="000000"/>
          <w:szCs w:val="21"/>
        </w:rPr>
        <w:t xml:space="preserve"> </w:t>
      </w:r>
      <w:r>
        <w:rPr>
          <w:i/>
          <w:color w:val="000000"/>
          <w:szCs w:val="21"/>
        </w:rPr>
        <w:t>y</w:t>
      </w:r>
      <w:r>
        <w:rPr>
          <w:iCs/>
          <w:color w:val="000000"/>
          <w:szCs w:val="21"/>
        </w:rPr>
        <w:t>＝</w:t>
      </w:r>
      <w:r>
        <w:rPr>
          <w:i/>
          <w:color w:val="000000"/>
          <w:szCs w:val="21"/>
        </w:rPr>
        <w:t xml:space="preserve">x                                 </w:t>
      </w:r>
      <w:r>
        <w:rPr>
          <w:color w:val="000000"/>
          <w:szCs w:val="21"/>
        </w:rPr>
        <w:t>（2）</w:t>
      </w:r>
    </w:p>
    <w:p>
      <w:pPr>
        <w:spacing w:line="360" w:lineRule="auto"/>
        <w:ind w:firstLine="1050" w:firstLineChars="500"/>
        <w:rPr>
          <w:color w:val="000000"/>
          <w:szCs w:val="21"/>
        </w:rPr>
      </w:pPr>
      <w:r>
        <w:rPr>
          <w:iCs/>
          <w:color w:val="000000"/>
          <w:szCs w:val="21"/>
        </w:rPr>
        <w:t>式中：</w:t>
      </w:r>
      <w:r>
        <w:rPr>
          <w:i/>
          <w:iCs/>
          <w:color w:val="000000"/>
          <w:szCs w:val="21"/>
        </w:rPr>
        <w:t>y</w:t>
      </w:r>
      <w:r>
        <w:rPr>
          <w:color w:val="000000"/>
          <w:szCs w:val="21"/>
        </w:rPr>
        <w:t xml:space="preserve"> ——测量结果</w:t>
      </w:r>
    </w:p>
    <w:p>
      <w:pPr>
        <w:spacing w:line="360" w:lineRule="auto"/>
        <w:ind w:left="315" w:leftChars="150" w:firstLine="1365" w:firstLineChars="650"/>
        <w:rPr>
          <w:color w:val="000000" w:themeColor="text1"/>
          <w:szCs w:val="21"/>
        </w:rPr>
      </w:pPr>
      <w:r>
        <w:rPr>
          <w:i/>
          <w:iCs/>
          <w:color w:val="000000"/>
          <w:szCs w:val="21"/>
        </w:rPr>
        <w:t xml:space="preserve">x </w:t>
      </w:r>
      <w:r>
        <w:rPr>
          <w:color w:val="000000"/>
          <w:szCs w:val="21"/>
        </w:rPr>
        <w:t>——</w:t>
      </w:r>
      <w:r>
        <w:rPr>
          <w:rFonts w:hint="eastAsia"/>
          <w:color w:val="000000"/>
          <w:szCs w:val="21"/>
          <w:lang w:eastAsia="zh-CN"/>
        </w:rPr>
        <w:t>数字压力控制器</w:t>
      </w:r>
      <w:r>
        <w:rPr>
          <w:color w:val="000000" w:themeColor="text1"/>
          <w:szCs w:val="21"/>
        </w:rPr>
        <w:t>的读数值</w:t>
      </w:r>
    </w:p>
    <w:p>
      <w:pPr>
        <w:snapToGrid w:val="0"/>
        <w:spacing w:line="360" w:lineRule="auto"/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3、各输入量的标准不确定度评定</w:t>
      </w:r>
    </w:p>
    <w:p>
      <w:pPr>
        <w:spacing w:line="360" w:lineRule="auto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3.1测量重复性引起的标准不确定度</w:t>
      </w:r>
      <m:oMath>
        <m:r>
          <m:rPr/>
          <w:rPr>
            <w:rFonts w:ascii="Cambria Math" w:hAnsi="Cambria Math"/>
            <w:color w:val="000000" w:themeColor="text1"/>
            <w:szCs w:val="21"/>
          </w:rPr>
          <m:t>u(x)</m:t>
        </m:r>
      </m:oMath>
      <w:r>
        <w:rPr>
          <w:color w:val="000000" w:themeColor="text1"/>
          <w:szCs w:val="21"/>
        </w:rPr>
        <w:t>的评定</w:t>
      </w:r>
    </w:p>
    <w:p>
      <w:pPr>
        <w:spacing w:line="360" w:lineRule="auto"/>
        <w:ind w:right="27" w:rightChars="13" w:firstLine="420" w:firstLineChars="200"/>
        <w:rPr>
          <w:color w:val="000000"/>
          <w:szCs w:val="21"/>
        </w:rPr>
      </w:pPr>
      <w:r>
        <w:rPr>
          <w:color w:val="000000" w:themeColor="text1"/>
          <w:szCs w:val="21"/>
        </w:rPr>
        <w:t>做A类评定试验：在</w:t>
      </w:r>
      <w:r>
        <w:rPr>
          <w:rFonts w:hint="eastAsia"/>
          <w:color w:val="000000" w:themeColor="text1"/>
          <w:szCs w:val="21"/>
        </w:rPr>
        <w:t>测量现场</w:t>
      </w:r>
      <w:r>
        <w:rPr>
          <w:color w:val="000000" w:themeColor="text1"/>
          <w:szCs w:val="21"/>
        </w:rPr>
        <w:t>，在</w:t>
      </w:r>
      <w:r>
        <w:rPr>
          <w:rFonts w:hint="eastAsia"/>
          <w:bCs/>
          <w:color w:val="000000" w:themeColor="text1"/>
          <w:szCs w:val="21"/>
          <w:lang w:eastAsia="zh-CN"/>
        </w:rPr>
        <w:t>数字压力控制器</w:t>
      </w:r>
      <w:r>
        <w:rPr>
          <w:color w:val="000000"/>
          <w:szCs w:val="21"/>
        </w:rPr>
        <w:t>正常工作状态下，同一组人，用同一</w:t>
      </w:r>
      <w:r>
        <w:rPr>
          <w:rFonts w:hint="eastAsia"/>
          <w:bCs/>
          <w:color w:val="000000" w:themeColor="text1"/>
          <w:szCs w:val="21"/>
          <w:lang w:eastAsia="zh-CN"/>
        </w:rPr>
        <w:t>数字压力控制器</w:t>
      </w:r>
      <w:r>
        <w:rPr>
          <w:rFonts w:hint="eastAsia"/>
          <w:bCs/>
          <w:color w:val="000000" w:themeColor="text1"/>
          <w:szCs w:val="21"/>
          <w:lang w:val="en-US" w:eastAsia="zh-CN"/>
        </w:rPr>
        <w:t>对同一</w:t>
      </w:r>
      <w:r>
        <w:rPr>
          <w:rFonts w:hint="eastAsia"/>
          <w:color w:val="000000"/>
          <w:szCs w:val="21"/>
          <w:lang w:val="en-US" w:eastAsia="zh-CN"/>
        </w:rPr>
        <w:t>压力变送器</w:t>
      </w:r>
      <w:r>
        <w:rPr>
          <w:color w:val="000000"/>
          <w:szCs w:val="21"/>
        </w:rPr>
        <w:t>，在</w:t>
      </w:r>
      <w:r>
        <w:rPr>
          <w:rFonts w:hint="eastAsia"/>
          <w:color w:val="000000"/>
          <w:szCs w:val="21"/>
          <w:lang w:val="en-US" w:eastAsia="zh-CN"/>
        </w:rPr>
        <w:t>短</w:t>
      </w:r>
      <w:r>
        <w:rPr>
          <w:color w:val="000000"/>
          <w:szCs w:val="21"/>
        </w:rPr>
        <w:t xml:space="preserve">的时间内，连续测量10次，得到10个数据汇表如下： </w:t>
      </w:r>
    </w:p>
    <w:p>
      <w:pPr>
        <w:spacing w:line="360" w:lineRule="auto"/>
        <w:ind w:left="180" w:right="-449" w:rightChars="-214"/>
        <w:jc w:val="center"/>
        <w:rPr>
          <w:color w:val="000000"/>
          <w:szCs w:val="21"/>
        </w:rPr>
      </w:pPr>
      <w:r>
        <w:rPr>
          <w:color w:val="000000"/>
          <w:szCs w:val="21"/>
        </w:rPr>
        <w:t>表1——测量数据汇总表</w:t>
      </w:r>
      <w:r>
        <w:rPr>
          <w:sz w:val="22"/>
        </w:rPr>
        <w:t xml:space="preserve"> </w:t>
      </w:r>
    </w:p>
    <w:tbl>
      <w:tblPr>
        <w:tblStyle w:val="7"/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417"/>
        <w:gridCol w:w="1418"/>
        <w:gridCol w:w="1417"/>
        <w:gridCol w:w="127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341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n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</w:trPr>
        <w:tc>
          <w:tcPr>
            <w:tcW w:w="1341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Cs w:val="21"/>
              </w:rPr>
            </w:pPr>
            <w:r>
              <w:rPr>
                <w:iCs/>
                <w:color w:val="auto"/>
                <w:szCs w:val="21"/>
              </w:rPr>
              <w:t>X</w:t>
            </w:r>
            <w:r>
              <w:rPr>
                <w:color w:val="auto"/>
                <w:szCs w:val="21"/>
              </w:rPr>
              <w:t>(</w:t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MPa</w:t>
            </w:r>
            <w:r>
              <w:rPr>
                <w:color w:val="auto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4.02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4.01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3.99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3.98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4.01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341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n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8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4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auto"/>
                <w:szCs w:val="21"/>
              </w:rPr>
            </w:pPr>
            <w:r>
              <w:rPr>
                <w:iCs/>
                <w:color w:val="auto"/>
                <w:szCs w:val="21"/>
              </w:rPr>
              <w:t>X</w:t>
            </w:r>
            <w:r>
              <w:rPr>
                <w:color w:val="auto"/>
                <w:szCs w:val="21"/>
              </w:rPr>
              <w:t>（</w:t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MPa</w:t>
            </w:r>
            <w:r>
              <w:rPr>
                <w:color w:val="auto"/>
                <w:szCs w:val="21"/>
              </w:rPr>
              <w:t>）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4.01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4.02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4.02</w:t>
            </w:r>
          </w:p>
        </w:tc>
        <w:tc>
          <w:tcPr>
            <w:tcW w:w="127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4.02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4.00</w:t>
            </w:r>
          </w:p>
        </w:tc>
      </w:tr>
    </w:tbl>
    <w:p>
      <w:pPr>
        <w:pStyle w:val="11"/>
        <w:spacing w:line="360" w:lineRule="auto"/>
        <w:rPr>
          <w:rFonts w:hint="eastAsia" w:eastAsia="宋体"/>
          <w:color w:val="000000"/>
          <w:sz w:val="21"/>
          <w:szCs w:val="21"/>
          <w:lang w:eastAsia="zh-CN"/>
        </w:rPr>
      </w:pPr>
      <w:r>
        <w:rPr>
          <w:kern w:val="0"/>
          <w:szCs w:val="21"/>
        </w:rPr>
        <w:t>单个测量值的实验标准差：</w:t>
      </w:r>
      <w:r>
        <w:rPr>
          <w:color w:val="000000"/>
          <w:position w:val="-26"/>
          <w:sz w:val="21"/>
          <w:szCs w:val="21"/>
        </w:rPr>
        <w:drawing>
          <wp:inline distT="0" distB="0" distL="0" distR="0">
            <wp:extent cx="1294765" cy="697230"/>
            <wp:effectExtent l="0" t="0" r="0" b="0"/>
            <wp:docPr id="1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</w:rPr>
        <w:t>=</w:t>
      </w:r>
      <w:r>
        <w:rPr>
          <w:rFonts w:hint="eastAsia"/>
          <w:color w:val="000000"/>
          <w:sz w:val="21"/>
          <w:szCs w:val="21"/>
          <w:lang w:val="en-US" w:eastAsia="zh-CN"/>
        </w:rPr>
        <w:t>0.0084</w:t>
      </w:r>
      <w:r>
        <w:rPr>
          <w:rFonts w:hint="eastAsia"/>
          <w:sz w:val="20"/>
          <w:szCs w:val="20"/>
          <w:lang w:eastAsia="zh-CN"/>
        </w:rPr>
        <w:t>MPa</w: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480" w:firstLineChars="200"/>
        <w:rPr>
          <w:rFonts w:hint="default" w:eastAsia="宋体"/>
          <w:color w:val="000000" w:themeColor="text1"/>
          <w:kern w:val="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1"/>
          <w:lang w:val="en-US" w:eastAsia="zh-CN" w:bidi="ar-SA"/>
        </w:rPr>
        <w:t>实际测试的时候测量</w:t>
      </w:r>
      <w:r>
        <w:rPr>
          <w:rFonts w:hint="eastAsia" w:cs="Times New Roman"/>
          <w:kern w:val="0"/>
          <w:sz w:val="24"/>
          <w:szCs w:val="21"/>
          <w:lang w:val="en-US" w:eastAsia="zh-CN" w:bidi="ar-SA"/>
        </w:rPr>
        <w:t>三</w:t>
      </w:r>
      <w:r>
        <w:rPr>
          <w:rFonts w:hint="eastAsia" w:ascii="Times New Roman" w:hAnsi="Times New Roman" w:eastAsia="宋体" w:cs="Times New Roman"/>
          <w:kern w:val="0"/>
          <w:sz w:val="24"/>
          <w:szCs w:val="21"/>
          <w:lang w:val="en-US" w:eastAsia="zh-CN" w:bidi="ar-SA"/>
        </w:rPr>
        <w:t>次</w:t>
      </w:r>
      <w:r>
        <w:rPr>
          <w:color w:val="000000" w:themeColor="text1"/>
          <w:kern w:val="0"/>
          <w:szCs w:val="21"/>
        </w:rPr>
        <w:t>：</w:t>
      </w:r>
      <w:bookmarkStart w:id="1" w:name="_Hlk36298355"/>
      <w:r>
        <w:rPr>
          <w:rFonts w:hint="eastAsia"/>
          <w:color w:val="000000" w:themeColor="text1"/>
          <w:kern w:val="0"/>
          <w:szCs w:val="21"/>
          <w:lang w:val="en-US" w:eastAsia="zh-CN"/>
        </w:rPr>
        <w:t>n=3</w:t>
      </w:r>
    </w:p>
    <w:bookmarkEnd w:id="1"/>
    <w:p>
      <w:pPr>
        <w:pStyle w:val="11"/>
        <w:spacing w:line="360" w:lineRule="auto"/>
        <w:rPr>
          <w:rFonts w:hint="eastAsia" w:eastAsia="宋体"/>
          <w:color w:val="000000"/>
          <w:sz w:val="21"/>
          <w:szCs w:val="21"/>
          <w:lang w:eastAsia="zh-CN"/>
        </w:rPr>
      </w:pPr>
      <w:r>
        <w:rPr>
          <w:kern w:val="0"/>
          <w:szCs w:val="21"/>
        </w:rPr>
        <w:t>标准不确定度分量：</w:t>
      </w:r>
      <m:oMath>
        <m:sSub>
          <m:sSubPr>
            <m:ctrlPr>
              <w:rPr>
                <w:rFonts w:ascii="Cambria Math" w:hAnsi="Cambria Math"/>
                <w:i/>
                <w:color w:val="0C0C0C" w:themeColor="text1" w:themeTint="F2"/>
                <w:kern w:val="0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0C0C0C" w:themeColor="text1" w:themeTint="F2"/>
                <w:kern w:val="0"/>
                <w:szCs w:val="21"/>
              </w:rPr>
              <m:t>u</m:t>
            </m:r>
            <m:ctrlPr>
              <w:rPr>
                <w:rFonts w:ascii="Cambria Math" w:hAnsi="Cambria Math"/>
                <w:i/>
                <w:color w:val="0C0C0C" w:themeColor="text1" w:themeTint="F2"/>
                <w:kern w:val="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C0C0C" w:themeColor="text1" w:themeTint="F2"/>
                <w:kern w:val="0"/>
                <w:szCs w:val="21"/>
              </w:rPr>
              <m:t>1</m:t>
            </m:r>
            <m:ctrlPr>
              <w:rPr>
                <w:rFonts w:ascii="Cambria Math" w:hAnsi="Cambria Math"/>
                <w:i/>
                <w:color w:val="0C0C0C" w:themeColor="text1" w:themeTint="F2"/>
                <w:kern w:val="0"/>
                <w:szCs w:val="21"/>
              </w:rPr>
            </m:ctrlPr>
          </m:sub>
        </m:sSub>
      </m:oMath>
      <w:r>
        <w:rPr>
          <w:color w:val="0C0C0C" w:themeColor="text1" w:themeTint="F2"/>
          <w:kern w:val="0"/>
          <w:szCs w:val="21"/>
        </w:rPr>
        <w:t>=</w:t>
      </w:r>
      <m:oMath>
        <m:f>
          <m:fPr>
            <m:ctrlPr>
              <w:rPr>
                <w:rFonts w:ascii="Cambria Math" w:hAnsi="Cambria Math"/>
                <w:i/>
                <w:color w:val="0C0C0C" w:themeColor="text1" w:themeTint="F2"/>
                <w:kern w:val="0"/>
                <w:szCs w:val="21"/>
              </w:rPr>
            </m:ctrlPr>
          </m:fPr>
          <m:num>
            <m:r>
              <m:rPr/>
              <w:rPr>
                <w:rFonts w:ascii="Cambria Math" w:hAnsi="Cambria Math"/>
                <w:color w:val="0C0C0C" w:themeColor="text1" w:themeTint="F2"/>
                <w:kern w:val="0"/>
                <w:szCs w:val="21"/>
              </w:rPr>
              <m:t>S</m:t>
            </m:r>
            <m:ctrlPr>
              <w:rPr>
                <w:rFonts w:ascii="Cambria Math" w:hAnsi="Cambria Math"/>
                <w:i/>
                <w:color w:val="0C0C0C" w:themeColor="text1" w:themeTint="F2"/>
                <w:kern w:val="0"/>
                <w:szCs w:val="21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C0C0C" w:themeColor="text1" w:themeTint="F2"/>
                    <w:kern w:val="0"/>
                    <w:szCs w:val="21"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  <w:color w:val="0C0C0C" w:themeColor="text1" w:themeTint="F2"/>
                    <w:kern w:val="0"/>
                    <w:szCs w:val="21"/>
                  </w:rPr>
                </m:ctrlPr>
              </m:deg>
              <m:e>
                <m:r>
                  <m:rPr/>
                  <w:rPr>
                    <w:rFonts w:ascii="Cambria Math" w:hAnsi="Cambria Math"/>
                    <w:color w:val="0C0C0C" w:themeColor="text1" w:themeTint="F2"/>
                    <w:kern w:val="0"/>
                    <w:szCs w:val="21"/>
                  </w:rPr>
                  <m:t>n</m:t>
                </m:r>
                <m:ctrlPr>
                  <w:rPr>
                    <w:rFonts w:ascii="Cambria Math" w:hAnsi="Cambria Math"/>
                    <w:i/>
                    <w:color w:val="0C0C0C" w:themeColor="text1" w:themeTint="F2"/>
                    <w:kern w:val="0"/>
                    <w:szCs w:val="21"/>
                  </w:rPr>
                </m:ctrlPr>
              </m:e>
            </m:rad>
            <m:ctrlPr>
              <w:rPr>
                <w:rFonts w:ascii="Cambria Math" w:hAnsi="Cambria Math"/>
                <w:i/>
                <w:color w:val="0C0C0C" w:themeColor="text1" w:themeTint="F2"/>
                <w:kern w:val="0"/>
                <w:szCs w:val="21"/>
              </w:rPr>
            </m:ctrlPr>
          </m:den>
        </m:f>
        <m:r>
          <m:rPr/>
          <w:rPr>
            <w:rFonts w:ascii="Cambria Math" w:hAnsi="Cambria Math"/>
            <w:color w:val="0C0C0C" w:themeColor="text1" w:themeTint="F2"/>
            <w:kern w:val="0"/>
            <w:szCs w:val="21"/>
          </w:rPr>
          <m:t>=</m:t>
        </m:r>
      </m:oMath>
      <w:r>
        <w:rPr>
          <w:rFonts w:hint="eastAsia"/>
          <w:color w:val="000000"/>
          <w:sz w:val="21"/>
          <w:szCs w:val="21"/>
          <w:lang w:val="en-US" w:eastAsia="zh-CN"/>
        </w:rPr>
        <w:t>0.0049</w:t>
      </w:r>
      <w:r>
        <w:rPr>
          <w:rFonts w:hint="eastAsia"/>
          <w:sz w:val="20"/>
          <w:szCs w:val="20"/>
          <w:lang w:eastAsia="zh-CN"/>
        </w:rPr>
        <w:t>MPa</w:t>
      </w:r>
    </w:p>
    <w:p>
      <w:pPr>
        <w:widowControl/>
        <w:tabs>
          <w:tab w:val="center" w:pos="4360"/>
          <w:tab w:val="right" w:pos="8300"/>
        </w:tabs>
        <w:spacing w:line="360" w:lineRule="auto"/>
        <w:ind w:left="420" w:firstLine="630" w:firstLineChars="300"/>
        <w:rPr>
          <w:rFonts w:hint="eastAsia" w:eastAsia="宋体"/>
          <w:color w:val="000000"/>
          <w:szCs w:val="21"/>
          <w:lang w:eastAsia="zh-CN"/>
        </w:rPr>
      </w:pPr>
    </w:p>
    <w:p>
      <w:pPr>
        <w:spacing w:line="360" w:lineRule="auto"/>
        <w:rPr>
          <w:i/>
          <w:szCs w:val="21"/>
        </w:rPr>
      </w:pPr>
      <w:r>
        <w:rPr>
          <w:szCs w:val="21"/>
        </w:rPr>
        <w:t>3.2</w:t>
      </w:r>
      <w:r>
        <w:rPr>
          <w:color w:val="000000" w:themeColor="text1"/>
          <w:szCs w:val="21"/>
        </w:rPr>
        <w:t>测量</w:t>
      </w:r>
      <w:r>
        <w:rPr>
          <w:rFonts w:hint="eastAsia"/>
          <w:color w:val="000000" w:themeColor="text1"/>
          <w:szCs w:val="21"/>
        </w:rPr>
        <w:t>设备</w:t>
      </w:r>
      <w:r>
        <w:rPr>
          <w:color w:val="000000" w:themeColor="text1"/>
          <w:szCs w:val="21"/>
        </w:rPr>
        <w:t>引起的标准不确定度</w:t>
      </w:r>
      <m:oMath>
        <m:r>
          <m:rPr/>
          <w:rPr>
            <w:rFonts w:ascii="Cambria Math" w:hAnsi="Cambria Math"/>
            <w:szCs w:val="21"/>
          </w:rPr>
          <m:t>u(y</m:t>
        </m:r>
        <m:r>
          <m:rPr>
            <m:sty m:val="p"/>
          </m:rPr>
          <w:rPr>
            <w:rFonts w:ascii="Cambria Math" w:hAnsi="Cambria Math"/>
            <w:szCs w:val="21"/>
          </w:rPr>
          <m:t>）</m:t>
        </m:r>
      </m:oMath>
      <w:r>
        <w:rPr>
          <w:color w:val="000000" w:themeColor="text1"/>
          <w:szCs w:val="21"/>
        </w:rPr>
        <w:t>的评定</w:t>
      </w:r>
    </w:p>
    <w:p>
      <w:pPr>
        <w:spacing w:line="360" w:lineRule="auto"/>
        <w:ind w:firstLine="315" w:firstLineChars="150"/>
        <w:rPr>
          <w:szCs w:val="21"/>
        </w:rPr>
      </w:pPr>
      <w:r>
        <w:rPr>
          <w:color w:val="000000" w:themeColor="text1"/>
          <w:szCs w:val="21"/>
        </w:rPr>
        <w:t>由</w:t>
      </w:r>
      <w:r>
        <w:rPr>
          <w:rFonts w:hint="eastAsia"/>
          <w:bCs/>
          <w:color w:val="000000" w:themeColor="text1"/>
          <w:szCs w:val="21"/>
          <w:lang w:eastAsia="zh-CN"/>
        </w:rPr>
        <w:t>数字压力控制器</w:t>
      </w:r>
      <w:r>
        <w:rPr>
          <w:rFonts w:hint="eastAsia"/>
          <w:bCs/>
          <w:color w:val="000000" w:themeColor="text1"/>
          <w:szCs w:val="21"/>
        </w:rPr>
        <w:t>校准</w:t>
      </w:r>
      <w:r>
        <w:rPr>
          <w:color w:val="000000" w:themeColor="text1"/>
          <w:szCs w:val="21"/>
        </w:rPr>
        <w:t>证书获知，</w:t>
      </w:r>
      <w:r>
        <w:rPr>
          <w:rFonts w:hint="eastAsia"/>
          <w:bCs/>
          <w:color w:val="000000" w:themeColor="text1"/>
          <w:szCs w:val="21"/>
          <w:lang w:eastAsia="zh-CN"/>
        </w:rPr>
        <w:t>数字压力控制器</w:t>
      </w:r>
      <w:r>
        <w:rPr>
          <w:rFonts w:hint="eastAsia"/>
          <w:sz w:val="20"/>
          <w:szCs w:val="20"/>
          <w:lang w:val="en-US" w:eastAsia="zh-CN"/>
        </w:rPr>
        <w:t>在4</w:t>
      </w:r>
      <w:r>
        <w:rPr>
          <w:rFonts w:hint="eastAsia"/>
        </w:rPr>
        <w:t>MPa</w:t>
      </w:r>
      <w:r>
        <w:rPr>
          <w:rFonts w:hint="eastAsia"/>
          <w:sz w:val="20"/>
          <w:szCs w:val="20"/>
          <w:lang w:val="en-US" w:eastAsia="zh-CN"/>
        </w:rPr>
        <w:t>这一点</w:t>
      </w:r>
      <w:r>
        <w:rPr>
          <w:rFonts w:hint="eastAsia"/>
          <w:sz w:val="20"/>
          <w:szCs w:val="20"/>
        </w:rPr>
        <w:t>误差：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</w:rPr>
        <w:t>±</w:t>
      </w:r>
      <w:r>
        <w:rPr>
          <w:rFonts w:hint="eastAsia"/>
          <w:kern w:val="0"/>
          <w:szCs w:val="21"/>
          <w:lang w:val="en-US" w:eastAsia="zh-CN"/>
        </w:rPr>
        <w:t>0.0008</w:t>
      </w:r>
      <w:r>
        <w:rPr>
          <w:rFonts w:hint="eastAsia"/>
        </w:rPr>
        <w:t>MPa</w:t>
      </w:r>
      <w:r>
        <w:rPr>
          <w:szCs w:val="21"/>
        </w:rPr>
        <w:t>，</w:t>
      </w:r>
      <w:r>
        <w:rPr>
          <w:rFonts w:hint="eastAsia"/>
          <w:szCs w:val="21"/>
        </w:rPr>
        <w:t>取半宽a</w:t>
      </w:r>
      <w:r>
        <w:rPr>
          <w:szCs w:val="21"/>
        </w:rPr>
        <w:t>=</w:t>
      </w:r>
      <w:r>
        <w:rPr>
          <w:rFonts w:hint="eastAsia"/>
          <w:kern w:val="0"/>
          <w:szCs w:val="21"/>
          <w:lang w:val="en-US" w:eastAsia="zh-CN"/>
        </w:rPr>
        <w:t>0.0008</w:t>
      </w:r>
      <w:r>
        <w:rPr>
          <w:rFonts w:hint="eastAsia"/>
        </w:rPr>
        <w:t>MPa</w:t>
      </w:r>
      <w:r>
        <w:rPr>
          <w:rFonts w:hint="eastAsia"/>
          <w:szCs w:val="21"/>
        </w:rPr>
        <w:t>，服从均匀分布，k取</w: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>
            <m:ctrlPr>
              <w:rPr>
                <w:rFonts w:ascii="Cambria Math" w:hAnsi="Cambria Math"/>
                <w:szCs w:val="21"/>
              </w:rPr>
            </m:ctrlPr>
          </m:deg>
          <m:e>
            <m:r>
              <m:rPr/>
              <w:rPr>
                <w:rFonts w:ascii="Cambria Math" w:hAnsi="Cambria Math"/>
                <w:szCs w:val="21"/>
              </w:rPr>
              <m:t>3</m:t>
            </m:r>
            <m:ctrlPr>
              <w:rPr>
                <w:rFonts w:ascii="Cambria Math" w:hAnsi="Cambria Math"/>
                <w:szCs w:val="21"/>
              </w:rPr>
            </m:ctrlPr>
          </m:e>
        </m:rad>
      </m:oMath>
      <w:r>
        <w:rPr>
          <w:rFonts w:hint="eastAsia"/>
          <w:szCs w:val="21"/>
        </w:rPr>
        <w:t>，</w:t>
      </w:r>
      <w:r>
        <w:rPr>
          <w:szCs w:val="21"/>
        </w:rPr>
        <w:t>则</w:t>
      </w:r>
    </w:p>
    <w:p>
      <w:pPr>
        <w:spacing w:line="360" w:lineRule="auto"/>
        <w:ind w:firstLine="1575" w:firstLineChars="750"/>
        <w:rPr>
          <w:rFonts w:hint="default"/>
          <w:szCs w:val="21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1"/>
                </w:rPr>
              </m:ctrlPr>
            </m:sSubPr>
            <m:e>
              <m:r>
                <m:rPr/>
                <w:rPr>
                  <w:rFonts w:ascii="Cambria Math" w:hAnsi="Cambria Math"/>
                  <w:szCs w:val="21"/>
                </w:rPr>
                <m:t>u</m:t>
              </m:r>
              <m:ctrlPr>
                <w:rPr>
                  <w:rFonts w:ascii="Cambria Math" w:hAnsi="Cambria Math"/>
                  <w:i/>
                  <w:szCs w:val="21"/>
                </w:rPr>
              </m:ctrlPr>
            </m:e>
            <m:sub>
              <m:r>
                <m:rPr/>
                <w:rPr>
                  <w:rFonts w:ascii="Cambria Math" w:hAnsi="Cambria Math"/>
                  <w:szCs w:val="21"/>
                </w:rPr>
                <m:t>（y）</m:t>
              </m:r>
              <m:ctrlPr>
                <w:rPr>
                  <w:rFonts w:ascii="Cambria Math" w:hAnsi="Cambria Math"/>
                  <w:i/>
                  <w:szCs w:val="21"/>
                </w:rPr>
              </m:ctrlPr>
            </m:sub>
          </m:sSub>
          <m:r>
            <m:rPr/>
            <w:rPr>
              <w:rFonts w:ascii="Cambria Math" w:hAnsi="Cambria Math"/>
              <w:szCs w:val="21"/>
            </w:rPr>
            <m:t>=</m:t>
          </m:r>
          <m:f>
            <m:fPr>
              <m:ctrlPr>
                <w:rPr>
                  <w:rFonts w:ascii="Cambria Math" w:hAnsi="Cambria Math"/>
                  <w:szCs w:val="21"/>
                </w:rPr>
              </m:ctrlPr>
            </m:fPr>
            <m:num>
              <m:r>
                <m:rPr/>
                <w:rPr>
                  <w:rFonts w:ascii="Cambria Math" w:hAnsi="Cambria Math"/>
                  <w:szCs w:val="21"/>
                </w:rPr>
                <m:t>0.</m:t>
              </m:r>
              <m:r>
                <m:rPr/>
                <w:rPr>
                  <w:rFonts w:hint="default" w:ascii="Cambria Math" w:hAnsi="Cambria Math"/>
                  <w:szCs w:val="21"/>
                  <w:lang w:val="en-US" w:eastAsia="zh-CN"/>
                </w:rPr>
                <m:t>0008</m:t>
              </m:r>
              <m:ctrlPr>
                <w:rPr>
                  <w:rFonts w:ascii="Cambria Math" w:hAnsi="Cambria Math"/>
                  <w:szCs w:val="21"/>
                </w:rPr>
              </m:ctrlP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radPr>
                <m:deg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deg>
                <m:e>
                  <m:r>
                    <m:rPr/>
                    <w:rPr>
                      <w:rFonts w:ascii="Cambria Math" w:hAnsi="Cambria Math"/>
                      <w:szCs w:val="21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e>
              </m:rad>
              <m:ctrlPr>
                <w:rPr>
                  <w:rFonts w:ascii="Cambria Math" w:hAnsi="Cambria Math"/>
                  <w:szCs w:val="21"/>
                </w:rPr>
              </m:ctrlPr>
            </m:den>
          </m:f>
          <m:r>
            <m:rPr/>
            <w:rPr>
              <w:rFonts w:ascii="Cambria Math" w:hAnsi="Cambria Math"/>
              <w:szCs w:val="21"/>
            </w:rPr>
            <m:t>=</m:t>
          </m:r>
          <m:r>
            <m:rPr/>
            <w:rPr>
              <w:rFonts w:hint="default" w:ascii="Cambria Math" w:hAnsi="Cambria Math"/>
              <w:szCs w:val="21"/>
              <w:lang w:val="en-US" w:eastAsia="zh-CN"/>
            </w:rPr>
            <m:t>0.00047MPa</m:t>
          </m:r>
        </m:oMath>
      </m:oMathPara>
    </w:p>
    <w:p>
      <w:pPr>
        <w:spacing w:line="360" w:lineRule="auto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4合成标准不确定度的评定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4.1标准不确定度汇总表</w:t>
      </w:r>
    </w:p>
    <w:p>
      <w:pPr>
        <w:spacing w:line="360" w:lineRule="auto"/>
        <w:ind w:firstLine="210" w:firstLineChars="100"/>
        <w:rPr>
          <w:color w:val="000000"/>
          <w:szCs w:val="21"/>
        </w:rPr>
      </w:pPr>
      <w:r>
        <w:rPr>
          <w:color w:val="000000"/>
          <w:szCs w:val="21"/>
        </w:rPr>
        <w:t>输入量的标准不确定度汇总于表2。</w:t>
      </w:r>
    </w:p>
    <w:p>
      <w:pPr>
        <w:spacing w:line="360" w:lineRule="auto"/>
        <w:ind w:firstLine="2730" w:firstLineChars="1300"/>
        <w:rPr>
          <w:color w:val="000000"/>
          <w:szCs w:val="21"/>
        </w:rPr>
      </w:pPr>
      <w:r>
        <w:rPr>
          <w:color w:val="000000"/>
          <w:szCs w:val="21"/>
        </w:rPr>
        <w:t>表2   标准不确定度汇总表</w:t>
      </w:r>
    </w:p>
    <w:tbl>
      <w:tblPr>
        <w:tblStyle w:val="7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4111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vAlign w:val="center"/>
          </w:tcPr>
          <w:p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相对标准不确定度分量</w:t>
            </w:r>
            <m:oMath>
              <m:r>
                <m:rPr/>
                <w:rPr>
                  <w:rFonts w:ascii="Cambria Math" w:hAnsi="Cambria Math"/>
                  <w:color w:val="000000"/>
                  <w:w w:val="90"/>
                  <w:szCs w:val="21"/>
                </w:rPr>
                <m:t>u(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w w:val="90"/>
                      <w:szCs w:val="21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color w:val="000000"/>
                      <w:w w:val="90"/>
                      <w:szCs w:val="21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color w:val="000000"/>
                      <w:w w:val="90"/>
                      <w:szCs w:val="21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color w:val="000000"/>
                      <w:w w:val="90"/>
                      <w:szCs w:val="21"/>
                    </w:rPr>
                    <m:t>i</m:t>
                  </m:r>
                  <m:ctrlPr>
                    <w:rPr>
                      <w:rFonts w:ascii="Cambria Math" w:hAnsi="Cambria Math"/>
                      <w:i/>
                      <w:color w:val="000000"/>
                      <w:w w:val="90"/>
                      <w:szCs w:val="21"/>
                    </w:rPr>
                  </m:ctrlPr>
                </m:sub>
              </m:sSub>
              <m:r>
                <m:rPr/>
                <w:rPr>
                  <w:rFonts w:ascii="Cambria Math" w:hAnsi="Cambria Math"/>
                  <w:color w:val="000000"/>
                  <w:w w:val="90"/>
                  <w:szCs w:val="21"/>
                </w:rPr>
                <m:t>)</m:t>
              </m:r>
            </m:oMath>
          </w:p>
        </w:tc>
        <w:tc>
          <w:tcPr>
            <w:tcW w:w="4111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不确定度来源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标准不确定度值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color w:val="000000"/>
                        <w:szCs w:val="21"/>
                      </w:rPr>
                      <m:t>u</m:t>
                    </m:r>
                    <m:ctrlPr>
                      <w:rPr>
                        <w:rFonts w:ascii="Cambria Math" w:hAnsi="Cambria Math"/>
                        <w:i/>
                        <w:color w:val="000000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  <w:color w:val="000000"/>
                        <w:szCs w:val="21"/>
                      </w:rPr>
                      <m:t>(x)</m:t>
                    </m:r>
                    <m:ctrlPr>
                      <w:rPr>
                        <w:rFonts w:ascii="Cambria Math" w:hAnsi="Cambria Math"/>
                        <w:i/>
                        <w:color w:val="000000"/>
                        <w:szCs w:val="21"/>
                      </w:rPr>
                    </m:ctrlPr>
                  </m:sub>
                </m:sSub>
              </m:oMath>
            </m:oMathPara>
          </w:p>
        </w:tc>
        <w:tc>
          <w:tcPr>
            <w:tcW w:w="4111" w:type="dxa"/>
            <w:vAlign w:val="center"/>
          </w:tcPr>
          <w:p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测量重复性引入的不确定度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0.0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049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CN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114" w:type="dxa"/>
            <w:vAlign w:val="center"/>
          </w:tcPr>
          <w:p>
            <w:pPr>
              <w:tabs>
                <w:tab w:val="center" w:pos="906"/>
                <w:tab w:val="right" w:pos="1693"/>
              </w:tabs>
              <w:spacing w:line="360" w:lineRule="auto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ab/>
            </w:r>
            <w:r>
              <w:rPr>
                <w:color w:val="000000"/>
                <w:szCs w:val="21"/>
              </w:rPr>
              <w:t xml:space="preserve">    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1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color w:val="000000"/>
                      <w:szCs w:val="21"/>
                    </w:rPr>
                    <m:t>u</m:t>
                  </m:r>
                  <m:ctrlPr>
                    <w:rPr>
                      <w:rFonts w:ascii="Cambria Math" w:hAnsi="Cambria Math"/>
                      <w:i/>
                      <w:color w:val="000000"/>
                      <w:szCs w:val="21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color w:val="000000"/>
                      <w:szCs w:val="21"/>
                    </w:rPr>
                    <m:t>（y）</m:t>
                  </m:r>
                  <m:ctrlPr>
                    <w:rPr>
                      <w:rFonts w:ascii="Cambria Math" w:hAnsi="Cambria Math"/>
                      <w:i/>
                      <w:color w:val="000000"/>
                      <w:szCs w:val="21"/>
                    </w:rPr>
                  </m:ctrlPr>
                </m:sub>
              </m:sSub>
            </m:oMath>
          </w:p>
        </w:tc>
        <w:tc>
          <w:tcPr>
            <w:tcW w:w="4111" w:type="dxa"/>
            <w:vAlign w:val="center"/>
          </w:tcPr>
          <w:p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 w:themeColor="text1"/>
                <w:szCs w:val="21"/>
              </w:rPr>
              <w:t>测量</w:t>
            </w:r>
            <w:r>
              <w:rPr>
                <w:rFonts w:hint="eastAsia"/>
                <w:color w:val="000000" w:themeColor="text1"/>
                <w:szCs w:val="21"/>
              </w:rPr>
              <w:t>设备</w:t>
            </w:r>
            <w:r>
              <w:rPr>
                <w:color w:val="000000" w:themeColor="text1"/>
                <w:szCs w:val="21"/>
              </w:rPr>
              <w:t>引起的标准不确定度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0.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00047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CN"/>
              </w:rPr>
              <w:t>MPa</w:t>
            </w:r>
          </w:p>
        </w:tc>
      </w:tr>
    </w:tbl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4.3合成标准不确定度的计算</w:t>
      </w:r>
    </w:p>
    <w:p>
      <w:pPr>
        <w:spacing w:line="360" w:lineRule="auto"/>
        <w:ind w:firstLine="210" w:firstLineChars="100"/>
        <w:rPr>
          <w:color w:val="000000"/>
          <w:szCs w:val="21"/>
        </w:rPr>
      </w:pPr>
      <w:r>
        <w:rPr>
          <w:color w:val="000000"/>
          <w:szCs w:val="21"/>
        </w:rPr>
        <w:t>合成标准不确定度可按下式得到：</w:t>
      </w:r>
    </w:p>
    <w:p>
      <w:pPr>
        <w:pStyle w:val="11"/>
        <w:spacing w:line="360" w:lineRule="auto"/>
        <w:ind w:firstLine="560"/>
        <w:rPr>
          <w:b/>
          <w:bCs/>
          <w:color w:val="000000"/>
          <w:szCs w:val="21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1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sz w:val="21"/>
                <w:szCs w:val="21"/>
              </w:rPr>
              <m:t>u</m:t>
            </m:r>
            <m:ctrlPr>
              <w:rPr>
                <w:rFonts w:ascii="Cambria Math" w:hAnsi="Cambria Math"/>
                <w:i/>
                <w:color w:val="000000"/>
                <w:sz w:val="21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 w:val="21"/>
                <w:szCs w:val="21"/>
              </w:rPr>
              <m:t>c</m:t>
            </m:r>
            <m:ctrlPr>
              <w:rPr>
                <w:rFonts w:ascii="Cambria Math" w:hAnsi="Cambria Math"/>
                <w:i/>
                <w:color w:val="000000"/>
                <w:sz w:val="21"/>
                <w:szCs w:val="21"/>
              </w:rPr>
            </m:ctrlPr>
          </m:sub>
        </m:sSub>
        <m:r>
          <m:rPr/>
          <w:rPr>
            <w:rFonts w:ascii="Cambria Math" w:hAnsi="Cambria Math"/>
            <w:color w:val="000000"/>
            <w:sz w:val="21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21"/>
                <w:szCs w:val="21"/>
              </w:rPr>
            </m:ctrlPr>
          </m:radPr>
          <m:deg>
            <m:ctrlPr>
              <w:rPr>
                <w:rFonts w:ascii="Cambria Math" w:hAnsi="Cambria Math"/>
                <w:i/>
                <w:color w:val="000000"/>
                <w:sz w:val="21"/>
                <w:szCs w:val="21"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1"/>
                    <w:szCs w:val="21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1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u</m:t>
                    </m:r>
                    <m:ctrlPr>
                      <w:rPr>
                        <w:rFonts w:ascii="Cambria Math" w:hAnsi="Cambria Math"/>
                        <w:i/>
                        <w:color w:val="000000"/>
                        <w:sz w:val="21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（x）</m:t>
                    </m:r>
                    <m:ctrlPr>
                      <w:rPr>
                        <w:rFonts w:ascii="Cambria Math" w:hAnsi="Cambria Math"/>
                        <w:i/>
                        <w:color w:val="000000"/>
                        <w:sz w:val="21"/>
                        <w:szCs w:val="21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  <w:color w:val="00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00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000000"/>
                    <w:sz w:val="21"/>
                    <w:szCs w:val="21"/>
                  </w:rPr>
                </m:ctrlPr>
              </m:sup>
            </m:sSup>
            <m:r>
              <m:rPr/>
              <w:rPr>
                <w:rFonts w:ascii="Cambria Math" w:hAnsi="Cambria Math"/>
                <w:color w:val="000000"/>
                <w:sz w:val="21"/>
                <w:szCs w:val="21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1"/>
                    <w:szCs w:val="21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1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u</m:t>
                    </m:r>
                    <m:ctrlPr>
                      <w:rPr>
                        <w:rFonts w:ascii="Cambria Math" w:hAnsi="Cambria Math"/>
                        <w:i/>
                        <w:color w:val="000000"/>
                        <w:sz w:val="21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(y)</m:t>
                    </m:r>
                    <m:ctrlPr>
                      <w:rPr>
                        <w:rFonts w:ascii="Cambria Math" w:hAnsi="Cambria Math"/>
                        <w:i/>
                        <w:color w:val="000000"/>
                        <w:sz w:val="21"/>
                        <w:szCs w:val="21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  <w:color w:val="00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00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000000"/>
                    <w:sz w:val="21"/>
                    <w:szCs w:val="21"/>
                  </w:rPr>
                </m:ctrlPr>
              </m:sup>
            </m:sSup>
            <m:ctrlPr>
              <w:rPr>
                <w:rFonts w:ascii="Cambria Math" w:hAnsi="Cambria Math"/>
                <w:i/>
                <w:color w:val="000000"/>
                <w:sz w:val="21"/>
                <w:szCs w:val="21"/>
              </w:rPr>
            </m:ctrlPr>
          </m:e>
        </m:rad>
        <m:r>
          <m:rPr/>
          <w:rPr>
            <w:rFonts w:ascii="Cambria Math" w:hAnsi="Cambria Math"/>
            <w:color w:val="000000"/>
            <w:sz w:val="21"/>
            <w:szCs w:val="21"/>
          </w:rPr>
          <m:t>=</m:t>
        </m:r>
      </m:oMath>
      <w:r>
        <w:rPr>
          <w:rFonts w:hint="eastAsia"/>
          <w:iCs/>
          <w:color w:val="000000"/>
          <w:sz w:val="21"/>
          <w:szCs w:val="21"/>
          <w:lang w:val="en-US" w:eastAsia="zh-CN"/>
        </w:rPr>
        <w:t>0.005</w:t>
      </w:r>
      <w:r>
        <w:rPr>
          <w:rFonts w:hint="eastAsia"/>
          <w:sz w:val="20"/>
          <w:szCs w:val="20"/>
          <w:lang w:eastAsia="zh-CN"/>
        </w:rPr>
        <w:t>MPa</w:t>
      </w:r>
      <w:r>
        <w:rPr>
          <w:b/>
          <w:bCs/>
          <w:color w:val="000000"/>
          <w:szCs w:val="21"/>
        </w:rPr>
        <w:t xml:space="preserve"> </w:t>
      </w:r>
    </w:p>
    <w:p>
      <w:pPr>
        <w:pStyle w:val="11"/>
        <w:spacing w:line="360" w:lineRule="auto"/>
        <w:ind w:left="0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5扩展不确定度的计算</w:t>
      </w:r>
    </w:p>
    <w:p>
      <w:pPr>
        <w:spacing w:line="360" w:lineRule="auto"/>
        <w:ind w:left="360"/>
        <w:rPr>
          <w:szCs w:val="21"/>
        </w:rPr>
      </w:pPr>
      <w:r>
        <w:rPr>
          <w:szCs w:val="21"/>
        </w:rPr>
        <w:t>取</w:t>
      </w:r>
      <w:r>
        <w:rPr>
          <w:kern w:val="0"/>
          <w:szCs w:val="21"/>
        </w:rPr>
        <w:t>包含因子</w:t>
      </w:r>
      <w:r>
        <w:rPr>
          <w:i/>
          <w:kern w:val="0"/>
          <w:szCs w:val="21"/>
        </w:rPr>
        <w:t>k</w:t>
      </w:r>
      <w:r>
        <w:rPr>
          <w:kern w:val="0"/>
          <w:szCs w:val="21"/>
        </w:rPr>
        <w:t>= 2,置信概率 95％</w:t>
      </w:r>
      <w:r>
        <w:rPr>
          <w:i/>
          <w:szCs w:val="21"/>
        </w:rPr>
        <w:t xml:space="preserve">,  </w:t>
      </w:r>
      <w:r>
        <w:rPr>
          <w:szCs w:val="21"/>
        </w:rPr>
        <w:t>得</w:t>
      </w:r>
    </w:p>
    <w:p>
      <w:pPr>
        <w:spacing w:line="360" w:lineRule="auto"/>
        <w:ind w:left="780" w:firstLine="682" w:firstLineChars="325"/>
        <w:rPr>
          <w:rFonts w:hint="eastAsia" w:eastAsia="宋体"/>
          <w:szCs w:val="21"/>
          <w:lang w:eastAsia="zh-CN"/>
        </w:rPr>
      </w:pPr>
      <w:r>
        <w:rPr>
          <w:i/>
          <w:szCs w:val="21"/>
        </w:rPr>
        <w:t>U＝</w:t>
      </w:r>
      <w:r>
        <w:rPr>
          <w:i/>
          <w:kern w:val="0"/>
          <w:szCs w:val="21"/>
        </w:rPr>
        <w:t>k</w:t>
      </w:r>
      <w:r>
        <w:rPr>
          <w:szCs w:val="21"/>
        </w:rPr>
        <w:t>u</w:t>
      </w:r>
      <w:r>
        <w:rPr>
          <w:szCs w:val="21"/>
          <w:vertAlign w:val="subscript"/>
        </w:rPr>
        <w:t>c</w:t>
      </w:r>
      <w:r>
        <w:rPr>
          <w:szCs w:val="21"/>
        </w:rPr>
        <w:t>＝2×</w:t>
      </w:r>
      <w:r>
        <w:rPr>
          <w:rFonts w:hint="eastAsia"/>
          <w:szCs w:val="21"/>
          <w:lang w:val="en-US" w:eastAsia="zh-CN"/>
        </w:rPr>
        <w:t>0.005</w:t>
      </w:r>
      <w:r>
        <w:rPr>
          <w:rFonts w:hint="eastAsia"/>
          <w:sz w:val="20"/>
          <w:szCs w:val="20"/>
          <w:lang w:eastAsia="zh-CN"/>
        </w:rPr>
        <w:t>MPa</w:t>
      </w:r>
      <w:r>
        <w:rPr>
          <w:szCs w:val="21"/>
        </w:rPr>
        <w:t>＝0</w:t>
      </w:r>
      <w:r>
        <w:rPr>
          <w:rFonts w:hint="eastAsia"/>
          <w:szCs w:val="21"/>
          <w:lang w:val="en-US" w:eastAsia="zh-CN"/>
        </w:rPr>
        <w:t>.01</w:t>
      </w:r>
      <w:r>
        <w:rPr>
          <w:rFonts w:hint="eastAsia"/>
          <w:sz w:val="20"/>
          <w:szCs w:val="20"/>
          <w:lang w:eastAsia="zh-CN"/>
        </w:rPr>
        <w:t>MPa</w:t>
      </w:r>
    </w:p>
    <w:p>
      <w:pPr>
        <w:spacing w:line="360" w:lineRule="auto"/>
        <w:rPr>
          <w:szCs w:val="21"/>
        </w:rPr>
      </w:pPr>
      <w:r>
        <w:rPr>
          <w:b/>
          <w:bCs/>
          <w:szCs w:val="21"/>
        </w:rPr>
        <w:t xml:space="preserve">6、测量不确定度的报告与表示   </w:t>
      </w:r>
    </w:p>
    <w:p>
      <w:pPr>
        <w:spacing w:line="360" w:lineRule="auto"/>
        <w:ind w:left="780" w:firstLine="804" w:firstLineChars="383"/>
        <w:rPr>
          <w:szCs w:val="21"/>
        </w:rPr>
      </w:pPr>
      <w:r>
        <w:rPr>
          <w:i/>
          <w:szCs w:val="21"/>
        </w:rPr>
        <w:t>U＝</w:t>
      </w:r>
      <w:r>
        <w:rPr>
          <w:szCs w:val="21"/>
        </w:rPr>
        <w:t>0.</w:t>
      </w:r>
      <w:r>
        <w:rPr>
          <w:rFonts w:hint="eastAsia"/>
          <w:szCs w:val="21"/>
          <w:lang w:val="en-US" w:eastAsia="zh-CN"/>
        </w:rPr>
        <w:t>01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  <w:lang w:eastAsia="zh-CN"/>
        </w:rPr>
        <w:t>MPa</w:t>
      </w:r>
      <w:r>
        <w:rPr>
          <w:szCs w:val="21"/>
        </w:rPr>
        <w:t>，</w:t>
      </w:r>
      <w:r>
        <w:rPr>
          <w:i/>
          <w:iCs/>
          <w:szCs w:val="21"/>
        </w:rPr>
        <w:t>k</w:t>
      </w:r>
      <w:r>
        <w:rPr>
          <w:szCs w:val="21"/>
        </w:rPr>
        <w:t>=2</w:t>
      </w:r>
      <w:bookmarkStart w:id="2" w:name="_GoBack"/>
      <w:bookmarkEnd w:id="2"/>
    </w:p>
    <w:sectPr>
      <w:footerReference r:id="rId3" w:type="default"/>
      <w:pgSz w:w="11906" w:h="16838"/>
      <w:pgMar w:top="1247" w:right="1558" w:bottom="1247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Y5YmRmMWQ4MDA3MWUzNWI3YTE5MWM2MzlhMmI0ODcifQ=="/>
  </w:docVars>
  <w:rsids>
    <w:rsidRoot w:val="002674CB"/>
    <w:rsid w:val="0000498D"/>
    <w:rsid w:val="00014BF7"/>
    <w:rsid w:val="00015D8C"/>
    <w:rsid w:val="000166BF"/>
    <w:rsid w:val="00021AAA"/>
    <w:rsid w:val="0002670A"/>
    <w:rsid w:val="0003227F"/>
    <w:rsid w:val="000401C3"/>
    <w:rsid w:val="00047B06"/>
    <w:rsid w:val="00077D25"/>
    <w:rsid w:val="00090696"/>
    <w:rsid w:val="000A4AA5"/>
    <w:rsid w:val="000A6CEB"/>
    <w:rsid w:val="000F4389"/>
    <w:rsid w:val="000F5E98"/>
    <w:rsid w:val="001011C2"/>
    <w:rsid w:val="0010623A"/>
    <w:rsid w:val="0011374F"/>
    <w:rsid w:val="00122F68"/>
    <w:rsid w:val="00141274"/>
    <w:rsid w:val="00162BAF"/>
    <w:rsid w:val="00192282"/>
    <w:rsid w:val="0019513C"/>
    <w:rsid w:val="001A51CD"/>
    <w:rsid w:val="001B1A83"/>
    <w:rsid w:val="001D598E"/>
    <w:rsid w:val="001F590D"/>
    <w:rsid w:val="00201DB4"/>
    <w:rsid w:val="002107AF"/>
    <w:rsid w:val="00213B60"/>
    <w:rsid w:val="00227568"/>
    <w:rsid w:val="002364C9"/>
    <w:rsid w:val="0026145B"/>
    <w:rsid w:val="00264FE1"/>
    <w:rsid w:val="002674CB"/>
    <w:rsid w:val="00276D73"/>
    <w:rsid w:val="002903BC"/>
    <w:rsid w:val="002C44B4"/>
    <w:rsid w:val="002D0371"/>
    <w:rsid w:val="002D2984"/>
    <w:rsid w:val="00305008"/>
    <w:rsid w:val="00317F7B"/>
    <w:rsid w:val="00371A96"/>
    <w:rsid w:val="003867FC"/>
    <w:rsid w:val="00393FE8"/>
    <w:rsid w:val="003C4D1D"/>
    <w:rsid w:val="003D783A"/>
    <w:rsid w:val="003D7E30"/>
    <w:rsid w:val="003E7DB7"/>
    <w:rsid w:val="003F1F07"/>
    <w:rsid w:val="00400D14"/>
    <w:rsid w:val="00417EFD"/>
    <w:rsid w:val="0043702C"/>
    <w:rsid w:val="0046337B"/>
    <w:rsid w:val="004723E3"/>
    <w:rsid w:val="00474314"/>
    <w:rsid w:val="00485659"/>
    <w:rsid w:val="004A0798"/>
    <w:rsid w:val="004F72D6"/>
    <w:rsid w:val="0051393E"/>
    <w:rsid w:val="00520CD7"/>
    <w:rsid w:val="00525DBE"/>
    <w:rsid w:val="00537568"/>
    <w:rsid w:val="00560A79"/>
    <w:rsid w:val="005653DC"/>
    <w:rsid w:val="00575DBB"/>
    <w:rsid w:val="00587A38"/>
    <w:rsid w:val="00595112"/>
    <w:rsid w:val="00595C57"/>
    <w:rsid w:val="005A6D00"/>
    <w:rsid w:val="005B15D8"/>
    <w:rsid w:val="005B31F7"/>
    <w:rsid w:val="005D6B5E"/>
    <w:rsid w:val="005E35F2"/>
    <w:rsid w:val="005F29E5"/>
    <w:rsid w:val="006001B2"/>
    <w:rsid w:val="00610F68"/>
    <w:rsid w:val="006169C4"/>
    <w:rsid w:val="006656AF"/>
    <w:rsid w:val="00666500"/>
    <w:rsid w:val="006665A0"/>
    <w:rsid w:val="00677B80"/>
    <w:rsid w:val="00693896"/>
    <w:rsid w:val="0069521E"/>
    <w:rsid w:val="006A2511"/>
    <w:rsid w:val="006D2EC3"/>
    <w:rsid w:val="006E175B"/>
    <w:rsid w:val="00706F98"/>
    <w:rsid w:val="007354AB"/>
    <w:rsid w:val="00761874"/>
    <w:rsid w:val="00781E86"/>
    <w:rsid w:val="007935FF"/>
    <w:rsid w:val="007946AD"/>
    <w:rsid w:val="007A6B72"/>
    <w:rsid w:val="007B24C9"/>
    <w:rsid w:val="007B5237"/>
    <w:rsid w:val="007C2CED"/>
    <w:rsid w:val="007C2DF4"/>
    <w:rsid w:val="007C4C50"/>
    <w:rsid w:val="007D5E63"/>
    <w:rsid w:val="007E6AF4"/>
    <w:rsid w:val="008025FB"/>
    <w:rsid w:val="00807260"/>
    <w:rsid w:val="00813895"/>
    <w:rsid w:val="00821BC4"/>
    <w:rsid w:val="008440B5"/>
    <w:rsid w:val="00853C4D"/>
    <w:rsid w:val="00864046"/>
    <w:rsid w:val="008859EE"/>
    <w:rsid w:val="00886B7F"/>
    <w:rsid w:val="00892990"/>
    <w:rsid w:val="008C3FDF"/>
    <w:rsid w:val="008C6CF2"/>
    <w:rsid w:val="008E0634"/>
    <w:rsid w:val="00902470"/>
    <w:rsid w:val="009031A4"/>
    <w:rsid w:val="00905CBF"/>
    <w:rsid w:val="009125B6"/>
    <w:rsid w:val="0091364F"/>
    <w:rsid w:val="00917AB6"/>
    <w:rsid w:val="00931C27"/>
    <w:rsid w:val="00943D84"/>
    <w:rsid w:val="00945422"/>
    <w:rsid w:val="00953C59"/>
    <w:rsid w:val="0096432D"/>
    <w:rsid w:val="009663CA"/>
    <w:rsid w:val="00977C49"/>
    <w:rsid w:val="00984337"/>
    <w:rsid w:val="00996BFC"/>
    <w:rsid w:val="009A08D6"/>
    <w:rsid w:val="009B228D"/>
    <w:rsid w:val="009C212D"/>
    <w:rsid w:val="009D1838"/>
    <w:rsid w:val="009D2A42"/>
    <w:rsid w:val="009F2629"/>
    <w:rsid w:val="00A151D8"/>
    <w:rsid w:val="00A202E2"/>
    <w:rsid w:val="00A370A7"/>
    <w:rsid w:val="00A4183F"/>
    <w:rsid w:val="00A851D3"/>
    <w:rsid w:val="00A868B8"/>
    <w:rsid w:val="00A92912"/>
    <w:rsid w:val="00A9589B"/>
    <w:rsid w:val="00AB5D4E"/>
    <w:rsid w:val="00AC0468"/>
    <w:rsid w:val="00AC232C"/>
    <w:rsid w:val="00AE3E03"/>
    <w:rsid w:val="00AE6A78"/>
    <w:rsid w:val="00AF17AD"/>
    <w:rsid w:val="00AF3563"/>
    <w:rsid w:val="00AF731E"/>
    <w:rsid w:val="00B14181"/>
    <w:rsid w:val="00B17578"/>
    <w:rsid w:val="00B3623F"/>
    <w:rsid w:val="00B37EC4"/>
    <w:rsid w:val="00B66104"/>
    <w:rsid w:val="00B670B3"/>
    <w:rsid w:val="00B73F07"/>
    <w:rsid w:val="00B95F2B"/>
    <w:rsid w:val="00C26D5C"/>
    <w:rsid w:val="00C27B1B"/>
    <w:rsid w:val="00C47C5F"/>
    <w:rsid w:val="00C52A08"/>
    <w:rsid w:val="00C6473E"/>
    <w:rsid w:val="00C73C6A"/>
    <w:rsid w:val="00C87A6D"/>
    <w:rsid w:val="00CA154F"/>
    <w:rsid w:val="00CB02A2"/>
    <w:rsid w:val="00CB2337"/>
    <w:rsid w:val="00CB5F21"/>
    <w:rsid w:val="00CF1E30"/>
    <w:rsid w:val="00D17FD8"/>
    <w:rsid w:val="00D264C4"/>
    <w:rsid w:val="00D27DDD"/>
    <w:rsid w:val="00D33A13"/>
    <w:rsid w:val="00D3525C"/>
    <w:rsid w:val="00D803CE"/>
    <w:rsid w:val="00D82283"/>
    <w:rsid w:val="00DA2E65"/>
    <w:rsid w:val="00DA7DE5"/>
    <w:rsid w:val="00DE162B"/>
    <w:rsid w:val="00E0560B"/>
    <w:rsid w:val="00E3396A"/>
    <w:rsid w:val="00E40954"/>
    <w:rsid w:val="00E527D8"/>
    <w:rsid w:val="00E52D69"/>
    <w:rsid w:val="00E62F45"/>
    <w:rsid w:val="00E65B58"/>
    <w:rsid w:val="00E81C56"/>
    <w:rsid w:val="00EA1332"/>
    <w:rsid w:val="00EA5452"/>
    <w:rsid w:val="00EA70DA"/>
    <w:rsid w:val="00EB2F67"/>
    <w:rsid w:val="00EB3EBC"/>
    <w:rsid w:val="00EE3017"/>
    <w:rsid w:val="00EE6FC0"/>
    <w:rsid w:val="00F015B8"/>
    <w:rsid w:val="00F1533A"/>
    <w:rsid w:val="00F36C54"/>
    <w:rsid w:val="00FA69F6"/>
    <w:rsid w:val="00FB17EA"/>
    <w:rsid w:val="00FC0EA6"/>
    <w:rsid w:val="00FC246A"/>
    <w:rsid w:val="00FC5633"/>
    <w:rsid w:val="00FD405F"/>
    <w:rsid w:val="00FE76F7"/>
    <w:rsid w:val="00FF315E"/>
    <w:rsid w:val="044770B2"/>
    <w:rsid w:val="05C570E8"/>
    <w:rsid w:val="09577FB8"/>
    <w:rsid w:val="0CAF6225"/>
    <w:rsid w:val="0CDC1E1E"/>
    <w:rsid w:val="0DA6440B"/>
    <w:rsid w:val="0E576B35"/>
    <w:rsid w:val="0EE859DF"/>
    <w:rsid w:val="103546B6"/>
    <w:rsid w:val="12AD7BDB"/>
    <w:rsid w:val="17A17A16"/>
    <w:rsid w:val="18791403"/>
    <w:rsid w:val="1A4B39BB"/>
    <w:rsid w:val="1A653E1C"/>
    <w:rsid w:val="1F4C4200"/>
    <w:rsid w:val="21EF0DC2"/>
    <w:rsid w:val="23FA7F34"/>
    <w:rsid w:val="243056A1"/>
    <w:rsid w:val="24CF2829"/>
    <w:rsid w:val="25312398"/>
    <w:rsid w:val="25BD5B23"/>
    <w:rsid w:val="27BE054C"/>
    <w:rsid w:val="2AB8578C"/>
    <w:rsid w:val="2C28712E"/>
    <w:rsid w:val="2C620D55"/>
    <w:rsid w:val="2E736B0E"/>
    <w:rsid w:val="2FE72CCC"/>
    <w:rsid w:val="30F27DED"/>
    <w:rsid w:val="339C474B"/>
    <w:rsid w:val="351957ED"/>
    <w:rsid w:val="360719D2"/>
    <w:rsid w:val="38B22018"/>
    <w:rsid w:val="3A5F7CB0"/>
    <w:rsid w:val="3B3B6DF8"/>
    <w:rsid w:val="42212319"/>
    <w:rsid w:val="42732272"/>
    <w:rsid w:val="43BC1F32"/>
    <w:rsid w:val="454C4A39"/>
    <w:rsid w:val="45FA67FE"/>
    <w:rsid w:val="477A6CE3"/>
    <w:rsid w:val="490E5D78"/>
    <w:rsid w:val="4A02072C"/>
    <w:rsid w:val="4A020870"/>
    <w:rsid w:val="4A546E21"/>
    <w:rsid w:val="4D63663A"/>
    <w:rsid w:val="4F745F83"/>
    <w:rsid w:val="4F7800DE"/>
    <w:rsid w:val="517D5F39"/>
    <w:rsid w:val="520E18AC"/>
    <w:rsid w:val="538066BD"/>
    <w:rsid w:val="540F28EC"/>
    <w:rsid w:val="54A57465"/>
    <w:rsid w:val="55300465"/>
    <w:rsid w:val="56D635FB"/>
    <w:rsid w:val="5A4763F3"/>
    <w:rsid w:val="5B061C74"/>
    <w:rsid w:val="5B9642B7"/>
    <w:rsid w:val="5FCA57D8"/>
    <w:rsid w:val="609F7046"/>
    <w:rsid w:val="63001A8B"/>
    <w:rsid w:val="684839BC"/>
    <w:rsid w:val="695828FB"/>
    <w:rsid w:val="6BD477EC"/>
    <w:rsid w:val="6CFB1FE3"/>
    <w:rsid w:val="6F5D2896"/>
    <w:rsid w:val="744F372E"/>
    <w:rsid w:val="76A271A0"/>
    <w:rsid w:val="76A72ED3"/>
    <w:rsid w:val="7869696E"/>
    <w:rsid w:val="7AB02F7C"/>
    <w:rsid w:val="7D2B6D03"/>
    <w:rsid w:val="7DC32556"/>
    <w:rsid w:val="7E5C07A9"/>
    <w:rsid w:val="7E652938"/>
    <w:rsid w:val="7F655AF1"/>
    <w:rsid w:val="7FA92D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字符"/>
    <w:link w:val="5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页眉 字符"/>
    <w:basedOn w:val="8"/>
    <w:link w:val="6"/>
    <w:qFormat/>
    <w:uiPriority w:val="0"/>
    <w:rPr>
      <w:kern w:val="2"/>
      <w:sz w:val="18"/>
      <w:szCs w:val="18"/>
    </w:rPr>
  </w:style>
  <w:style w:type="paragraph" w:customStyle="1" w:styleId="11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styleId="12">
    <w:name w:val="Placeholder Text"/>
    <w:basedOn w:val="8"/>
    <w:unhideWhenUsed/>
    <w:qFormat/>
    <w:uiPriority w:val="99"/>
    <w:rPr>
      <w:color w:val="808080"/>
    </w:rPr>
  </w:style>
  <w:style w:type="character" w:customStyle="1" w:styleId="13">
    <w:name w:val="批注框文本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4">
    <w:name w:val="标题 3 字符"/>
    <w:basedOn w:val="8"/>
    <w:link w:val="2"/>
    <w:qFormat/>
    <w:uiPriority w:val="9"/>
    <w:rPr>
      <w:rFonts w:ascii="宋体" w:hAnsi="宋体"/>
      <w:b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707</Words>
  <Characters>915</Characters>
  <Lines>7</Lines>
  <Paragraphs>2</Paragraphs>
  <TotalTime>4</TotalTime>
  <ScaleCrop>false</ScaleCrop>
  <LinksUpToDate>false</LinksUpToDate>
  <CharactersWithSpaces>980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2020-03-19T11:03:00Z</dcterms:created>
  <dc:creator>MC SYSTEM</dc:creator>
  <cp:lastModifiedBy>于养奇</cp:lastModifiedBy>
  <cp:lastPrinted>2021-07-08T12:26:00Z</cp:lastPrinted>
  <dcterms:modified xsi:type="dcterms:W3CDTF">2023-07-09T04:31:10Z</dcterms:modified>
  <dc:title>直读光谱仪测量中低合金钢中锰含量的测量不确定度评定</dc:title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E290945F464A4FC28FA6445A80C695A1</vt:lpwstr>
  </property>
</Properties>
</file>