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菏泽众安电子智能科技有限公司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30513-2023-QEO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山东省菏泽市开发区长江路天安国际广场写字楼4号楼01单元20001室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山东省菏泽市开发区长江路天安国际广场写字楼4号楼01单元20001室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朱红臣</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13853029719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13853029719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2023-07-01上午至2023-07-01下午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安防设备、消防器材、办公设备及耗材、家用电器、五金产品、电子元器件与机电组件设备、汽车新车、体育用品及器材、音响设备、建筑装饰材料、通讯设备、智能无人飞行器、智能家庭消费设备、服务消费机器人、家具、计算机软硬件及辅助设备的销售服务</w:t>
            </w:r>
          </w:p>
          <w:p>
            <w:pPr>
              <w:tabs>
                <w:tab w:val="left" w:pos="0"/>
              </w:tabs>
              <w:jc w:val="left"/>
              <w:rPr>
                <w:sz w:val="21"/>
                <w:szCs w:val="21"/>
              </w:rPr>
            </w:pPr>
            <w:r>
              <w:rPr>
                <w:sz w:val="21"/>
                <w:szCs w:val="21"/>
              </w:rPr>
              <w:t>E：安防设备、消防器材、办公设备及耗材、家用电器、五金产品、电子元器件与机电组件设备、汽车新车、体育用品及器材、音响设备、建筑装饰材料、通讯设备、智能无人飞行器、智能家庭消费设备、服务消费机器人、家具、计算机软硬件及辅助设备的销售服务所涉及场所的相关环境管理活动</w:t>
            </w:r>
          </w:p>
          <w:p>
            <w:pPr>
              <w:tabs>
                <w:tab w:val="left" w:pos="0"/>
              </w:tabs>
              <w:jc w:val="left"/>
              <w:rPr>
                <w:sz w:val="21"/>
                <w:szCs w:val="21"/>
              </w:rPr>
            </w:pPr>
            <w:r>
              <w:rPr>
                <w:sz w:val="21"/>
                <w:szCs w:val="21"/>
              </w:rPr>
              <w:t>O：安防设备、消防器材、办公设备及耗材、家用电器、五金产品、电子元器件与机电组件设备、汽车新车、体育用品及器材、音响设备、建筑装饰材料、通讯设备、智能无人飞行器、智能家庭消费设备、服务消费机器人、家具、计算机软硬件及辅助设备的销售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r>
              <w:rPr>
                <w:sz w:val="21"/>
                <w:szCs w:val="21"/>
              </w:rPr>
              <w:t>8.3</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pPr>
            <w:r>
              <w:t>15020551977</w:t>
            </w:r>
          </w:p>
          <w:p>
            <w:pPr>
              <w:pStyle w:val="2"/>
              <w:ind w:firstLine="260" w:firstLineChars="100"/>
              <w:rPr>
                <w:rFonts w:hint="default" w:eastAsia="宋体"/>
                <w:lang w:val="en-US" w:eastAsia="zh-CN"/>
              </w:rPr>
            </w:pPr>
            <w:r>
              <w:rPr>
                <w:rFonts w:hint="eastAsia"/>
                <w:lang w:val="en-US" w:eastAsia="zh-CN"/>
              </w:rPr>
              <w:t>非现场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杨森</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2023-06-27</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7BB47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1538</Words>
  <Characters>1864</Characters>
  <Lines>11</Lines>
  <Paragraphs>3</Paragraphs>
  <TotalTime>0</TotalTime>
  <ScaleCrop>false</ScaleCrop>
  <LinksUpToDate>false</LinksUpToDate>
  <CharactersWithSpaces>1912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2023-06-27T00:49:48Z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1288F3A76A784AA59938DDD106AF3AFF_13</vt:lpwstr>
  </property>
  <property fmtid="{D5CDD505-2E9C-101B-9397-08002B2CF9AE}" pid="3" name="KSOProductBuildVer">
    <vt:lpwstr>2052-11.1.0.14309</vt:lpwstr>
  </property>
</Properties>
</file>