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成都明为燃烧控制设备有限公司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29.10.07,34.05.00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 24001-2016idtISO 14001:2015</w:t>
      </w:r>
      <w:bookmarkEnd w:id="4"/>
    </w:p>
    <w:p>
      <w:pPr>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成都明为燃烧控制设备有限公司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9</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成都市新都区马家镇普东村四社</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610500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成都市新都工业东区永红路</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610500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刘伟</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13880919733</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刘伟</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邱平昌</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工业自动化控制系统、电子设备（放空火炬及放空立管）的设计及销售服务</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29.10.07;34.05.00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2019-10-16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行政部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技术</w:t>
            </w:r>
            <w:r>
              <w:rPr>
                <w:rFonts w:hint="eastAsia" w:ascii="宋体" w:hAnsi="宋体"/>
                <w:b/>
                <w:color w:val="000000" w:themeColor="text1"/>
                <w:sz w:val="20"/>
                <w:szCs w:val="20"/>
              </w:rPr>
              <w:t>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纠正和预防措施控制；策划管理；过程监控管理；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市场部</w:t>
            </w:r>
          </w:p>
        </w:tc>
        <w:tc>
          <w:tcPr>
            <w:tcW w:w="6804" w:type="dxa"/>
            <w:vAlign w:val="top"/>
          </w:tcPr>
          <w:p>
            <w:pPr>
              <w:jc w:val="left"/>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合同管理；客户管理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采购管理；供方管理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 xml:space="preserve">工业自动化控制系统、电子设备（放空火炬及放空立管）的设计及销售服务 </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2019年10月16日至2020.年3月24日</w:t>
      </w:r>
      <w:r>
        <w:rPr>
          <w:rFonts w:hint="eastAsia"/>
          <w:b/>
          <w:color w:val="000000" w:themeColor="text1"/>
          <w:spacing w:val="-10"/>
          <w:szCs w:val="21"/>
        </w:rPr>
        <w:t>。</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numPr>
          <w:ilvl w:val="0"/>
          <w:numId w:val="2"/>
        </w:numPr>
        <w:spacing w:before="312" w:beforeLines="100" w:line="320" w:lineRule="exact"/>
        <w:ind w:left="-1" w:leftChars="-337" w:hanging="707" w:hangingChars="271"/>
        <w:rPr>
          <w:rFonts w:hint="eastAsia" w:ascii="宋体" w:hAnsi="宋体"/>
          <w:b/>
          <w:color w:val="000000" w:themeColor="text1"/>
          <w:sz w:val="26"/>
          <w:szCs w:val="26"/>
        </w:rPr>
      </w:pPr>
      <w:r>
        <w:rPr>
          <w:rFonts w:hint="eastAsia" w:ascii="宋体" w:hAnsi="宋体"/>
          <w:b/>
          <w:color w:val="000000" w:themeColor="text1"/>
          <w:sz w:val="26"/>
          <w:szCs w:val="26"/>
        </w:rPr>
        <w:t>审核发现及审核证据说明</w:t>
      </w:r>
    </w:p>
    <w:tbl>
      <w:tblPr>
        <w:tblStyle w:val="6"/>
        <w:tblpPr w:leftFromText="180" w:rightFromText="180" w:vertAnchor="text" w:horzAnchor="page" w:tblpX="992" w:tblpY="317"/>
        <w:tblOverlap w:val="never"/>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Cs w:val="21"/>
              </w:rPr>
              <w:t>□</w:t>
            </w:r>
            <w:r>
              <w:rPr>
                <w:rFonts w:hint="eastAsia" w:ascii="宋体" w:hAnsi="宋体"/>
                <w:b/>
                <w:color w:val="000000" w:themeColor="text1"/>
                <w:sz w:val="20"/>
                <w:szCs w:val="20"/>
              </w:rPr>
              <w:t>质量/■环境（组织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jc w:val="left"/>
              <w:rPr>
                <w:rFonts w:hint="eastAsia" w:ascii="宋体" w:hAnsi="宋体"/>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jc w:val="left"/>
              <w:rPr>
                <w:rFonts w:hint="eastAsia" w:ascii="宋体" w:hAnsi="宋体"/>
                <w:sz w:val="23"/>
              </w:rPr>
            </w:pPr>
            <w:r>
              <w:rPr>
                <w:rFonts w:hint="eastAsia" w:ascii="宋体" w:hAnsi="宋体"/>
                <w:sz w:val="23"/>
              </w:rPr>
              <w:t xml:space="preserve">环境方针： </w:t>
            </w:r>
          </w:p>
          <w:p>
            <w:pPr>
              <w:jc w:val="left"/>
              <w:rPr>
                <w:rFonts w:hint="eastAsia" w:ascii="宋体" w:hAnsi="宋体" w:cs="Times New Roman"/>
                <w:color w:val="000000" w:themeColor="text1"/>
              </w:rPr>
            </w:pPr>
            <w:r>
              <w:rPr>
                <w:rFonts w:hint="eastAsia" w:ascii="宋体" w:hAnsi="宋体" w:cs="Times New Roman"/>
                <w:color w:val="000000" w:themeColor="text1"/>
              </w:rPr>
              <w:t>遵守法律法规     制造绿色产品</w:t>
            </w:r>
          </w:p>
          <w:p>
            <w:pPr>
              <w:jc w:val="left"/>
              <w:rPr>
                <w:rFonts w:hint="eastAsia" w:ascii="宋体" w:hAnsi="宋体" w:cs="Times New Roman"/>
                <w:color w:val="000000" w:themeColor="text1"/>
              </w:rPr>
            </w:pPr>
            <w:r>
              <w:rPr>
                <w:rFonts w:hint="eastAsia" w:ascii="宋体" w:hAnsi="宋体" w:cs="Times New Roman"/>
                <w:color w:val="000000" w:themeColor="text1"/>
              </w:rPr>
              <w:t>节能降耗降废     清洁安全生产</w:t>
            </w:r>
          </w:p>
          <w:p>
            <w:pPr>
              <w:jc w:val="left"/>
              <w:rPr>
                <w:b/>
                <w:color w:val="000000" w:themeColor="text1"/>
              </w:rPr>
            </w:pPr>
            <w:r>
              <w:rPr>
                <w:rFonts w:hint="eastAsia" w:ascii="宋体" w:hAnsi="宋体" w:cs="Times New Roman"/>
                <w:color w:val="000000" w:themeColor="text1"/>
              </w:rPr>
              <w:t>管理持续改进     建设美好家园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hint="default" w:ascii="宋体" w:hAnsi="宋体" w:eastAsia="宋体"/>
                <w:color w:val="000000" w:themeColor="text1"/>
                <w:lang w:val="en-US" w:eastAsia="zh-CN"/>
              </w:rPr>
            </w:pPr>
            <w:r>
              <w:rPr>
                <w:rFonts w:hint="eastAsia" w:ascii="宋体" w:hAnsi="宋体"/>
                <w:color w:val="000000" w:themeColor="text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质量管理体系过程有：合同评审、采购、研发、销售过程等。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p>
          <w:p>
            <w:pPr>
              <w:tabs>
                <w:tab w:val="left" w:pos="540"/>
              </w:tabs>
              <w:spacing w:line="300" w:lineRule="exact"/>
              <w:ind w:left="201" w:hanging="201" w:hangingChars="100"/>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需要确认过程</w:t>
            </w:r>
            <w:r>
              <w:rPr>
                <w:rFonts w:hint="eastAsia" w:ascii="宋体" w:hAnsi="宋体"/>
                <w:b/>
                <w:color w:val="000000" w:themeColor="text1"/>
                <w:sz w:val="20"/>
                <w:szCs w:val="20"/>
                <w:lang w:eastAsia="zh-CN"/>
              </w:rPr>
              <w:t>：</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2050" o:spid="_x0000_s2050" o:spt="32" type="#_x0000_t32" style="position:absolute;left:0pt;margin-left:157.9pt;margin-top:12.75pt;height:0pt;width:261.75pt;z-index:251685888;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1" o:spid="_x0000_s2051" o:spt="32" type="#_x0000_t32" style="position:absolute;left:0pt;margin-left:55.15pt;margin-top:12.75pt;height:0pt;width:42pt;z-index:25168486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，不适用理由：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15"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7.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结合公司的■产品/服务■环境因素，■确定 □未确定法律法规要求的具体条款，</w:t>
            </w: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400" w:lineRule="exact"/>
              <w:rPr>
                <w:rFonts w:ascii="宋体" w:hAnsi="宋体"/>
                <w:color w:val="000000"/>
                <w:sz w:val="24"/>
              </w:rPr>
            </w:pPr>
            <w:r>
              <w:rPr>
                <w:rFonts w:hint="eastAsia" w:ascii="宋体" w:hAnsi="宋体"/>
                <w:color w:val="000000"/>
                <w:sz w:val="24"/>
              </w:rPr>
              <w:t>环境目标：</w:t>
            </w:r>
          </w:p>
          <w:p>
            <w:pPr>
              <w:numPr>
                <w:ilvl w:val="0"/>
                <w:numId w:val="4"/>
              </w:numPr>
              <w:spacing w:line="400" w:lineRule="exact"/>
              <w:rPr>
                <w:rFonts w:hint="eastAsia" w:ascii="宋体" w:hAnsi="宋体"/>
                <w:color w:val="000000"/>
                <w:sz w:val="24"/>
              </w:rPr>
            </w:pPr>
            <w:r>
              <w:rPr>
                <w:rFonts w:hint="eastAsia" w:ascii="宋体" w:hAnsi="宋体"/>
                <w:color w:val="000000"/>
                <w:sz w:val="24"/>
              </w:rPr>
              <w:t>、</w:t>
            </w:r>
            <w:r>
              <w:rPr>
                <w:rFonts w:hint="eastAsia" w:ascii="宋体" w:hAnsi="宋体"/>
                <w:color w:val="000000"/>
                <w:sz w:val="24"/>
                <w:lang w:eastAsia="zh-CN"/>
              </w:rPr>
              <w:t>生活</w:t>
            </w:r>
            <w:r>
              <w:rPr>
                <w:rFonts w:hint="eastAsia" w:ascii="宋体" w:hAnsi="宋体"/>
                <w:color w:val="000000"/>
                <w:sz w:val="24"/>
              </w:rPr>
              <w:t>污水排放无投诉；</w:t>
            </w:r>
          </w:p>
          <w:p>
            <w:pPr>
              <w:numPr>
                <w:ilvl w:val="0"/>
                <w:numId w:val="4"/>
              </w:numPr>
              <w:spacing w:line="400" w:lineRule="exact"/>
              <w:ind w:left="0" w:leftChars="0" w:firstLine="0" w:firstLineChars="0"/>
              <w:rPr>
                <w:rFonts w:hint="eastAsia" w:ascii="宋体" w:hAnsi="宋体" w:cs="宋体"/>
                <w:color w:val="000000"/>
                <w:sz w:val="24"/>
              </w:rPr>
            </w:pPr>
            <w:r>
              <w:rPr>
                <w:rFonts w:hint="eastAsia" w:ascii="宋体" w:hAnsi="宋体"/>
                <w:color w:val="000000"/>
                <w:sz w:val="24"/>
              </w:rPr>
              <w:t>、固废分类</w:t>
            </w:r>
            <w:r>
              <w:rPr>
                <w:rFonts w:hint="eastAsia"/>
                <w:color w:val="000000"/>
                <w:sz w:val="24"/>
                <w:lang w:val="en-US" w:eastAsia="zh-CN"/>
              </w:rPr>
              <w:t>排放率</w:t>
            </w:r>
            <w:r>
              <w:rPr>
                <w:rFonts w:hint="eastAsia" w:ascii="宋体" w:hAnsi="宋体"/>
                <w:color w:val="000000"/>
                <w:sz w:val="24"/>
              </w:rPr>
              <w:t>100%</w:t>
            </w:r>
            <w:r>
              <w:rPr>
                <w:rFonts w:hint="eastAsia" w:ascii="宋体" w:hAnsi="宋体" w:cs="宋体"/>
                <w:color w:val="000000"/>
                <w:sz w:val="24"/>
              </w:rPr>
              <w:t>；</w:t>
            </w:r>
          </w:p>
          <w:p>
            <w:pPr>
              <w:numPr>
                <w:ilvl w:val="0"/>
                <w:numId w:val="4"/>
              </w:numPr>
              <w:spacing w:line="400" w:lineRule="exact"/>
              <w:ind w:left="0" w:leftChars="0" w:firstLine="0" w:firstLineChars="0"/>
              <w:rPr>
                <w:rFonts w:hint="eastAsia" w:ascii="宋体" w:hAnsi="宋体"/>
                <w:color w:val="000000"/>
                <w:sz w:val="24"/>
              </w:rPr>
            </w:pPr>
            <w:r>
              <w:rPr>
                <w:rFonts w:hint="eastAsia" w:ascii="宋体" w:hAnsi="宋体" w:cs="宋体"/>
                <w:color w:val="000000"/>
                <w:sz w:val="24"/>
                <w:lang w:val="en-US" w:eastAsia="zh-CN"/>
              </w:rPr>
              <w:t>、</w:t>
            </w:r>
            <w:r>
              <w:rPr>
                <w:rFonts w:hint="eastAsia" w:ascii="宋体" w:hAnsi="宋体"/>
                <w:color w:val="000000"/>
                <w:sz w:val="24"/>
              </w:rPr>
              <w:t>火灾事故为0</w:t>
            </w:r>
          </w:p>
          <w:p>
            <w:pPr>
              <w:spacing w:line="360" w:lineRule="auto"/>
              <w:ind w:firstLine="422" w:firstLineChars="200"/>
              <w:rPr>
                <w:rFonts w:ascii="宋体" w:hAnsi="宋体"/>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 xml:space="preserve">2019 </w:t>
            </w:r>
            <w:r>
              <w:rPr>
                <w:rFonts w:hint="eastAsia" w:ascii="宋体" w:hAnsi="宋体" w:cs="宋体"/>
                <w:color w:val="000000" w:themeColor="text1"/>
              </w:rPr>
              <w:t>年</w:t>
            </w:r>
            <w:r>
              <w:rPr>
                <w:rFonts w:hint="eastAsia" w:ascii="宋体" w:hAnsi="宋体" w:cs="宋体"/>
                <w:color w:val="000000" w:themeColor="text1"/>
                <w:lang w:val="en-US" w:eastAsia="zh-CN"/>
              </w:rPr>
              <w:t>10</w:t>
            </w:r>
            <w:r>
              <w:rPr>
                <w:rFonts w:hint="eastAsia" w:ascii="宋体" w:hAnsi="宋体" w:cs="宋体"/>
                <w:color w:val="000000" w:themeColor="text1"/>
              </w:rPr>
              <w:t>月</w:t>
            </w:r>
            <w:r>
              <w:rPr>
                <w:rFonts w:hint="eastAsia" w:ascii="宋体" w:hAnsi="宋体" w:cs="宋体"/>
                <w:color w:val="000000" w:themeColor="text1"/>
                <w:lang w:val="en-US" w:eastAsia="zh-CN"/>
              </w:rPr>
              <w:t>16</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电缆桥架及附件的生产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val="0"/>
                <w:bCs/>
                <w:color w:val="000000" w:themeColor="text1"/>
                <w:sz w:val="20"/>
                <w:szCs w:val="20"/>
                <w:highlight w:val="none"/>
              </w:rPr>
            </w:pPr>
            <w:r>
              <w:rPr>
                <w:rFonts w:hint="eastAsia" w:ascii="宋体" w:hAnsi="宋体"/>
                <w:b w:val="0"/>
                <w:bCs/>
                <w:color w:val="000000" w:themeColor="text1"/>
                <w:sz w:val="20"/>
                <w:szCs w:val="20"/>
                <w:highlight w:val="none"/>
              </w:rPr>
              <w:t>设备设施（包括信息系统）、</w:t>
            </w:r>
          </w:p>
          <w:p>
            <w:pPr>
              <w:spacing w:line="240" w:lineRule="exact"/>
              <w:rPr>
                <w:rFonts w:ascii="宋体" w:hAnsi="宋体"/>
                <w:b/>
                <w:color w:val="000000" w:themeColor="text1"/>
                <w:sz w:val="20"/>
                <w:szCs w:val="20"/>
                <w:highlight w:val="none"/>
              </w:rPr>
            </w:pPr>
            <w:r>
              <w:rPr>
                <w:rFonts w:hint="eastAsia" w:ascii="宋体" w:hAnsi="宋体"/>
                <w:b w:val="0"/>
                <w:bCs/>
                <w:color w:val="000000" w:themeColor="text1"/>
                <w:sz w:val="20"/>
                <w:szCs w:val="20"/>
                <w:highlight w:val="none"/>
              </w:rPr>
              <w:t>办公面积</w:t>
            </w:r>
            <w:r>
              <w:rPr>
                <w:rFonts w:hint="eastAsia" w:ascii="宋体" w:hAnsi="宋体"/>
                <w:b w:val="0"/>
                <w:bCs/>
                <w:color w:val="000000" w:themeColor="text1"/>
                <w:sz w:val="20"/>
                <w:szCs w:val="20"/>
                <w:highlight w:val="none"/>
                <w:lang w:val="en-US" w:eastAsia="zh-CN"/>
              </w:rPr>
              <w:t>300</w:t>
            </w:r>
            <w:r>
              <w:rPr>
                <w:rFonts w:hint="eastAsia" w:ascii="宋体" w:hAnsi="宋体" w:cs="宋体"/>
                <w:b w:val="0"/>
                <w:bCs/>
                <w:szCs w:val="21"/>
                <w:highlight w:val="none"/>
              </w:rPr>
              <w:t>平方米左右，主要生产设备包括：</w:t>
            </w:r>
            <w:r>
              <w:rPr>
                <w:rFonts w:hint="eastAsia" w:ascii="宋体" w:hAnsi="宋体" w:cs="宋体"/>
                <w:b w:val="0"/>
                <w:bCs/>
                <w:szCs w:val="21"/>
                <w:highlight w:val="none"/>
                <w:lang w:val="en-US" w:eastAsia="zh-CN"/>
              </w:rPr>
              <w:t>台式</w:t>
            </w:r>
            <w:r>
              <w:rPr>
                <w:rFonts w:ascii="宋体" w:hAnsi="宋体" w:cs="宋体"/>
                <w:b w:val="0"/>
                <w:bCs/>
                <w:kern w:val="0"/>
                <w:szCs w:val="21"/>
                <w:highlight w:val="none"/>
              </w:rPr>
              <w:t>电脑</w:t>
            </w:r>
            <w:r>
              <w:rPr>
                <w:rFonts w:hint="eastAsia" w:ascii="宋体" w:hAnsi="宋体" w:cs="宋体"/>
                <w:b w:val="0"/>
                <w:bCs/>
                <w:kern w:val="0"/>
                <w:szCs w:val="21"/>
                <w:highlight w:val="none"/>
                <w:lang w:eastAsia="zh-CN"/>
              </w:rPr>
              <w:t>、</w:t>
            </w:r>
            <w:r>
              <w:rPr>
                <w:rFonts w:hint="eastAsia" w:ascii="宋体" w:hAnsi="宋体" w:cs="宋体"/>
                <w:b w:val="0"/>
                <w:bCs/>
                <w:kern w:val="0"/>
                <w:szCs w:val="21"/>
                <w:highlight w:val="none"/>
                <w:lang w:val="en-US" w:eastAsia="zh-CN"/>
              </w:rPr>
              <w:t>笔记本</w:t>
            </w:r>
            <w:r>
              <w:rPr>
                <w:rFonts w:ascii="宋体" w:hAnsi="宋体" w:cs="宋体"/>
                <w:b w:val="0"/>
                <w:bCs/>
                <w:kern w:val="0"/>
                <w:szCs w:val="21"/>
                <w:highlight w:val="none"/>
              </w:rPr>
              <w:t>、打印机</w:t>
            </w:r>
            <w:r>
              <w:rPr>
                <w:rFonts w:hint="eastAsia" w:ascii="宋体" w:hAnsi="宋体"/>
                <w:b w:val="0"/>
                <w:bCs/>
                <w:szCs w:val="21"/>
                <w:highlight w:val="none"/>
              </w:rPr>
              <w:t>等</w:t>
            </w:r>
            <w:r>
              <w:rPr>
                <w:rFonts w:hint="eastAsia" w:ascii="宋体" w:hAnsi="宋体" w:cs="宋体"/>
                <w:b w:val="0"/>
                <w:bCs/>
                <w:szCs w:val="21"/>
                <w:highlight w:val="none"/>
              </w:rPr>
              <w:t>，可以满足</w:t>
            </w:r>
            <w:r>
              <w:rPr>
                <w:rFonts w:hint="eastAsia" w:ascii="宋体" w:hAnsi="宋体"/>
                <w:szCs w:val="21"/>
                <w:highlight w:val="none"/>
              </w:rPr>
              <w:t xml:space="preserve">工业自动化控制系统、电子设备（放空火炬及放空立管）的设计及销售服务 </w:t>
            </w:r>
            <w:r>
              <w:rPr>
                <w:rFonts w:hint="eastAsia" w:ascii="宋体" w:hAnsi="宋体" w:cs="宋体"/>
                <w:b w:val="0"/>
                <w:bCs/>
                <w:szCs w:val="21"/>
                <w:highlight w:val="none"/>
              </w:rPr>
              <w:t>需要。特种设备：无。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cs="宋体"/>
                <w:szCs w:val="21"/>
              </w:rPr>
              <w:t>办公和作业所场设备布置合理，通道畅通，照明设施齐全，均配备了消防设施等设施。办公室明亮，作业场所光线较充足。每月由行政部对工作环境进行定期检查。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hint="eastAsia" w:ascii="宋体" w:hAnsi="宋体" w:eastAsia="宋体"/>
                <w:b/>
                <w:color w:val="000000" w:themeColor="text1"/>
                <w:sz w:val="20"/>
                <w:szCs w:val="20"/>
                <w:lang w:eastAsia="zh-CN"/>
              </w:rPr>
            </w:pPr>
            <w:r>
              <w:rPr>
                <w:rFonts w:hint="eastAsia" w:ascii="宋体" w:hAnsi="宋体" w:cs="宋体"/>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sz w:val="20"/>
                <w:szCs w:val="20"/>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rFonts w:hint="eastAsia" w:eastAsia="宋体"/>
                <w:b/>
                <w:color w:val="000000" w:themeColor="text1"/>
                <w:sz w:val="20"/>
                <w:szCs w:val="20"/>
                <w:lang w:eastAsia="zh-CN"/>
              </w:rPr>
            </w:pPr>
            <w:r>
              <w:rPr>
                <w:rFonts w:hint="eastAsia" w:ascii="宋体" w:hAnsi="宋体" w:cs="宋体"/>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rFonts w:hint="eastAsia" w:ascii="宋体" w:hAnsi="宋体" w:cs="宋体"/>
                <w:color w:val="000000"/>
                <w:szCs w:val="21"/>
                <w:lang w:val="en-US" w:eastAsia="zh-CN"/>
              </w:rPr>
            </w:pPr>
            <w:r>
              <w:rPr>
                <w:rFonts w:hint="eastAsia" w:ascii="宋体" w:hAnsi="宋体" w:cs="宋体"/>
                <w:color w:val="000000"/>
                <w:szCs w:val="21"/>
                <w:lang w:val="en-US" w:eastAsia="zh-CN"/>
              </w:rPr>
              <w:t>/</w:t>
            </w: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60" w:lineRule="auto"/>
              <w:ind w:firstLine="210" w:firstLineChars="100"/>
              <w:rPr>
                <w:rFonts w:ascii="宋体" w:hAnsi="宋体" w:cs="宋体"/>
                <w:szCs w:val="21"/>
              </w:rPr>
            </w:pPr>
            <w:r>
              <w:rPr>
                <w:rFonts w:hint="eastAsia" w:ascii="宋体" w:hAnsi="宋体" w:cs="宋体"/>
                <w:szCs w:val="21"/>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tabs>
                <w:tab w:val="left" w:pos="2552"/>
              </w:tabs>
              <w:spacing w:line="360" w:lineRule="exact"/>
              <w:ind w:firstLine="315" w:firstLineChars="150"/>
              <w:rPr>
                <w:rFonts w:asciiTheme="minorEastAsia" w:hAnsiTheme="minorEastAsia" w:eastAsiaTheme="minorEastAsia"/>
                <w:bCs/>
                <w:iCs/>
              </w:rPr>
            </w:pPr>
            <w:r>
              <w:rPr>
                <w:rFonts w:hint="eastAsia" w:asciiTheme="minorEastAsia" w:hAnsiTheme="minorEastAsia" w:eastAsiaTheme="minorEastAsia"/>
                <w:bCs/>
                <w:iCs/>
              </w:rPr>
              <w:t>组织重要环境因素为固废排放和潜在火灾，需要应对的风险和机遇相关的过程为销售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8.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9. 对特种设备的维护; </w:t>
            </w:r>
            <w:r>
              <w:rPr>
                <w:rFonts w:hint="eastAsia"/>
                <w:b/>
                <w:sz w:val="20"/>
                <w:szCs w:val="20"/>
              </w:rPr>
              <w:t>（适用时）</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10 .对危险化学品销售、使用、储存、运输处置，规定的执行力度(必要时); （适用时）</w:t>
            </w:r>
          </w:p>
          <w:p>
            <w:pPr>
              <w:spacing w:line="240" w:lineRule="exact"/>
              <w:rPr>
                <w:sz w:val="20"/>
                <w:szCs w:val="20"/>
              </w:rPr>
            </w:pPr>
            <w:r>
              <w:rPr>
                <w:rFonts w:hint="eastAsia"/>
                <w:sz w:val="20"/>
                <w:szCs w:val="20"/>
              </w:rPr>
              <w:t>危险化学品：无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sz w:val="20"/>
                <w:szCs w:val="20"/>
              </w:rPr>
            </w:pPr>
            <w:r>
              <w:rPr>
                <w:rFonts w:hint="eastAsia"/>
                <w:b/>
                <w:sz w:val="20"/>
                <w:szCs w:val="20"/>
              </w:rPr>
              <w:t>1. .对质量/环境/职业健康安全目标指标进行定期监测/检查情况（适用时）</w:t>
            </w:r>
          </w:p>
          <w:p>
            <w:pPr>
              <w:spacing w:line="240" w:lineRule="exact"/>
              <w:ind w:firstLine="105" w:firstLineChars="50"/>
              <w:rPr>
                <w:b/>
                <w:sz w:val="20"/>
                <w:szCs w:val="20"/>
              </w:rPr>
            </w:pPr>
            <w:r>
              <w:rPr>
                <w:rFonts w:hint="eastAsia" w:ascii="宋体" w:hAnsi="宋体" w:cs="宋体"/>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2019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12</w:t>
            </w:r>
            <w:r>
              <w:rPr>
                <w:rFonts w:hint="eastAsia" w:ascii="宋体" w:hAnsi="宋体" w:cs="宋体"/>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sz w:val="20"/>
                <w:szCs w:val="20"/>
              </w:rPr>
            </w:pPr>
            <w:r>
              <w:rPr>
                <w:rFonts w:hint="eastAsia"/>
                <w:b/>
                <w:sz w:val="20"/>
                <w:szCs w:val="20"/>
              </w:rPr>
              <w:t>2.顾客满意</w:t>
            </w:r>
          </w:p>
          <w:p>
            <w:pPr>
              <w:spacing w:line="240" w:lineRule="exact"/>
              <w:ind w:left="105" w:leftChars="50" w:firstLine="315" w:firstLineChars="150"/>
              <w:rPr>
                <w:rFonts w:hint="eastAsia" w:eastAsia="宋体"/>
                <w:b/>
                <w:sz w:val="20"/>
                <w:szCs w:val="20"/>
                <w:lang w:val="en-US" w:eastAsia="zh-CN"/>
              </w:rPr>
            </w:pPr>
            <w:r>
              <w:rPr>
                <w:rFonts w:hint="eastAsia" w:ascii="宋体" w:hAnsi="宋体" w:cs="宋体"/>
                <w:szCs w:val="21"/>
              </w:rPr>
              <w:t>公司建立了顾客满意度监视和测量控制程序，对顾客投诉处理及顾客满意度评价做了明确的规定，并按规定对顾客反馈及时处理</w:t>
            </w:r>
            <w:r>
              <w:rPr>
                <w:rFonts w:hint="eastAsia" w:ascii="宋体" w:hAnsi="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ind w:firstLine="420" w:firstLineChars="200"/>
              <w:rPr>
                <w:b/>
                <w:sz w:val="20"/>
                <w:szCs w:val="20"/>
              </w:rPr>
            </w:pPr>
            <w:r>
              <w:rPr>
                <w:rFonts w:hint="eastAsia" w:ascii="宋体" w:hAnsi="宋体" w:cs="宋体"/>
                <w:szCs w:val="21"/>
              </w:rPr>
              <w:t>建立有《内部审核控制程序》，规定了内审频次一年一次，内审时间：</w:t>
            </w:r>
            <w:r>
              <w:rPr>
                <w:rFonts w:hint="eastAsia" w:ascii="宋体" w:hAnsi="宋体"/>
                <w:szCs w:val="21"/>
              </w:rPr>
              <w:t>2019年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20</w:t>
            </w:r>
            <w:r>
              <w:rPr>
                <w:rFonts w:hint="eastAsia" w:ascii="宋体" w:hAnsi="宋体"/>
                <w:szCs w:val="21"/>
              </w:rPr>
              <w:t>日</w:t>
            </w:r>
            <w:r>
              <w:rPr>
                <w:rFonts w:hint="eastAsia" w:ascii="宋体" w:hAnsi="宋体" w:cs="宋体"/>
                <w:szCs w:val="21"/>
              </w:rPr>
              <w:t>，拟定了审核实施表，明确了内审范围，内审人员经培训合格上岗，能力满足要求，未出现审核本部门情况，内审不符合项</w:t>
            </w:r>
            <w:r>
              <w:rPr>
                <w:rFonts w:hint="eastAsia" w:ascii="宋体" w:hAnsi="宋体" w:cs="宋体"/>
                <w:szCs w:val="21"/>
                <w:lang w:val="en-US" w:eastAsia="zh-CN"/>
              </w:rPr>
              <w:t>1</w:t>
            </w:r>
            <w:r>
              <w:rPr>
                <w:rFonts w:hint="eastAsia" w:ascii="宋体" w:hAnsi="宋体" w:cs="宋体"/>
                <w:szCs w:val="21"/>
              </w:rPr>
              <w:t>项，</w:t>
            </w:r>
            <w:r>
              <w:rPr>
                <w:rFonts w:hint="eastAsia" w:ascii="宋体" w:hAnsi="宋体"/>
                <w:szCs w:val="21"/>
              </w:rPr>
              <w:t>涉及</w:t>
            </w:r>
            <w:r>
              <w:rPr>
                <w:rFonts w:hint="eastAsia" w:ascii="宋体" w:hAnsi="宋体"/>
                <w:szCs w:val="21"/>
                <w:lang w:val="en-US" w:eastAsia="zh-CN"/>
              </w:rPr>
              <w:t>技术部部不符合8</w:t>
            </w:r>
            <w:r>
              <w:rPr>
                <w:rFonts w:hint="eastAsia" w:ascii="宋体" w:hAnsi="宋体" w:cs="宋体"/>
                <w:szCs w:val="21"/>
                <w:lang w:val="en-US" w:eastAsia="zh-CN"/>
              </w:rPr>
              <w:t>.2条款</w:t>
            </w:r>
            <w:r>
              <w:rPr>
                <w:rFonts w:hint="eastAsia" w:ascii="宋体" w:hAnsi="宋体" w:cs="宋体"/>
                <w:szCs w:val="21"/>
              </w:rPr>
              <w:t>审核中发现没有“事故应急预案”，针对该不符合项，已及时采取纠正措施后，经内审员验证关闭。内审的有效性需要改善。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szCs w:val="21"/>
              </w:rPr>
              <w:t>2019年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18</w:t>
            </w:r>
            <w:r>
              <w:rPr>
                <w:rFonts w:hint="eastAsia" w:ascii="宋体" w:hAnsi="宋体"/>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rFonts w:hint="default" w:eastAsia="宋体"/>
                <w:sz w:val="20"/>
                <w:szCs w:val="20"/>
                <w:lang w:val="en-US" w:eastAsia="zh-CN"/>
              </w:rPr>
            </w:pPr>
            <w:r>
              <w:rPr>
                <w:rFonts w:hint="eastAsia"/>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7. 其他能够标明组织绩效、信誉的证据/信息：</w:t>
            </w:r>
          </w:p>
          <w:p>
            <w:pPr>
              <w:widowControl/>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numPr>
          <w:ilvl w:val="0"/>
          <w:numId w:val="0"/>
        </w:numPr>
        <w:spacing w:before="312" w:beforeLines="100" w:line="320" w:lineRule="exact"/>
        <w:ind w:leftChars="-608"/>
        <w:rPr>
          <w:rFonts w:hint="eastAsia" w:ascii="宋体" w:hAnsi="宋体"/>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2052"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bookmarkStart w:id="21" w:name="_GoBack"/>
            <w:bookmarkEnd w:id="21"/>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eastAsia="宋体"/>
          <w:b/>
          <w:color w:val="000000" w:themeColor="text1"/>
          <w:sz w:val="26"/>
          <w:szCs w:val="26"/>
          <w:lang w:eastAsia="zh-CN"/>
        </w:rPr>
        <w:drawing>
          <wp:anchor distT="0" distB="0" distL="114300" distR="114300" simplePos="0" relativeHeight="251686912" behindDoc="0" locked="0" layoutInCell="1" allowOverlap="1">
            <wp:simplePos x="0" y="0"/>
            <wp:positionH relativeFrom="column">
              <wp:posOffset>1595755</wp:posOffset>
            </wp:positionH>
            <wp:positionV relativeFrom="paragraph">
              <wp:posOffset>253365</wp:posOffset>
            </wp:positionV>
            <wp:extent cx="726440" cy="513715"/>
            <wp:effectExtent l="0" t="0" r="16510" b="0"/>
            <wp:wrapSquare wrapText="bothSides"/>
            <wp:docPr id="3" name="图片 3"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李林签名"/>
                    <pic:cNvPicPr>
                      <a:picLocks noChangeAspect="1"/>
                    </pic:cNvPicPr>
                  </pic:nvPicPr>
                  <pic:blipFill>
                    <a:blip r:embed="rId6"/>
                    <a:stretch>
                      <a:fillRect/>
                    </a:stretch>
                  </pic:blipFill>
                  <pic:spPr>
                    <a:xfrm>
                      <a:off x="0" y="0"/>
                      <a:ext cx="726440" cy="513715"/>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rFonts w:hint="eastAsia" w:eastAsia="宋体"/>
          <w:b/>
          <w:color w:val="000000" w:themeColor="text1"/>
          <w:sz w:val="26"/>
          <w:szCs w:val="26"/>
          <w:lang w:eastAsia="zh-CN"/>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rFonts w:hint="default" w:eastAsia="宋体"/>
          <w:b/>
          <w:color w:val="000000" w:themeColor="text1"/>
          <w:sz w:val="16"/>
          <w:szCs w:val="16"/>
          <w:lang w:val="en-US" w:eastAsia="zh-CN"/>
        </w:rPr>
      </w:pPr>
      <w:r>
        <w:rPr>
          <w:rFonts w:hint="eastAsia"/>
          <w:b/>
          <w:color w:val="000000" w:themeColor="text1"/>
        </w:rPr>
        <w:t>日期</w:t>
      </w:r>
      <w:r>
        <w:rPr>
          <w:rFonts w:hint="eastAsia" w:asciiTheme="minorEastAsia" w:hAnsiTheme="minorEastAsia" w:eastAsiaTheme="minorEastAsia"/>
          <w:b/>
          <w:color w:val="000000" w:themeColor="text1"/>
          <w:lang w:eastAsia="zh-CN"/>
        </w:rPr>
        <w:t>：</w:t>
      </w:r>
      <w:r>
        <w:rPr>
          <w:rFonts w:hint="eastAsia" w:asciiTheme="minorEastAsia" w:hAnsiTheme="minorEastAsia" w:eastAsiaTheme="minorEastAsia"/>
          <w:b/>
          <w:color w:val="000000" w:themeColor="text1"/>
          <w:lang w:val="en-US" w:eastAsia="zh-CN"/>
        </w:rPr>
        <w:t>2020年3月24日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color w:val="000000" w:themeColor="text1"/>
          <w:szCs w:val="21"/>
        </w:rPr>
        <w:t>存在问题说明及意见：</w:t>
      </w: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ind w:firstLine="211" w:firstLineChars="100"/>
        <w:jc w:val="center"/>
        <w:rPr>
          <w:b/>
          <w:color w:val="000000" w:themeColor="text1"/>
          <w:szCs w:val="21"/>
        </w:rPr>
      </w:pPr>
      <w:r>
        <w:rPr>
          <w:rFonts w:hint="eastAsia"/>
          <w:b/>
          <w:color w:val="000000" w:themeColor="text1"/>
          <w:szCs w:val="21"/>
        </w:rPr>
        <w:drawing>
          <wp:anchor distT="0" distB="0" distL="114300" distR="114300" simplePos="0" relativeHeight="251747328" behindDoc="0" locked="0" layoutInCell="1" allowOverlap="1">
            <wp:simplePos x="0" y="0"/>
            <wp:positionH relativeFrom="column">
              <wp:posOffset>1277620</wp:posOffset>
            </wp:positionH>
            <wp:positionV relativeFrom="paragraph">
              <wp:posOffset>51435</wp:posOffset>
            </wp:positionV>
            <wp:extent cx="584835" cy="413385"/>
            <wp:effectExtent l="0" t="0" r="5715" b="5080"/>
            <wp:wrapSquare wrapText="bothSides"/>
            <wp:docPr id="6" name="图片 6"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李林签名"/>
                    <pic:cNvPicPr>
                      <a:picLocks noChangeAspect="1"/>
                    </pic:cNvPicPr>
                  </pic:nvPicPr>
                  <pic:blipFill>
                    <a:blip r:embed="rId6"/>
                    <a:stretch>
                      <a:fillRect/>
                    </a:stretch>
                  </pic:blipFill>
                  <pic:spPr>
                    <a:xfrm>
                      <a:off x="0" y="0"/>
                      <a:ext cx="584835" cy="413385"/>
                    </a:xfrm>
                    <a:prstGeom prst="rect">
                      <a:avLst/>
                    </a:prstGeom>
                  </pic:spPr>
                </pic:pic>
              </a:graphicData>
            </a:graphic>
          </wp:anchor>
        </w:drawing>
      </w:r>
      <w:r>
        <w:rPr>
          <w:rFonts w:hint="eastAsia"/>
          <w:b/>
          <w:color w:val="000000" w:themeColor="text1"/>
          <w:szCs w:val="21"/>
        </w:rPr>
        <w:t xml:space="preserve">组长签字:                               </w:t>
      </w:r>
      <w:r>
        <w:rPr>
          <w:rFonts w:hint="eastAsia"/>
          <w:b/>
          <w:color w:val="000000" w:themeColor="text1"/>
          <w:szCs w:val="21"/>
          <w:lang w:val="en-US" w:eastAsia="zh-CN"/>
        </w:rPr>
        <w:t xml:space="preserve"> </w:t>
      </w:r>
      <w:r>
        <w:rPr>
          <w:rFonts w:hint="eastAsia"/>
          <w:b/>
          <w:color w:val="000000" w:themeColor="text1"/>
          <w:szCs w:val="21"/>
        </w:rPr>
        <w:t>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5"/>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5"/>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rFonts w:ascii="宋体" w:hAnsi="宋体"/>
          <w:b/>
          <w:color w:val="000000" w:themeColor="text1"/>
          <w:sz w:val="26"/>
          <w:szCs w:val="26"/>
        </w:rPr>
      </w:pPr>
      <w:r>
        <w:rPr>
          <w:rFonts w:hint="eastAsia"/>
          <w:b/>
          <w:bCs/>
          <w:color w:val="000000" w:themeColor="text1"/>
          <w:szCs w:val="21"/>
        </w:rPr>
        <w:t xml:space="preserve">5. 对子证书/证书附件要求的组织，除在末次会议上确定注册范围外，还须附上子证书/证书附件的文字表达。(可另附页)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20"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20"/>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0E23FB"/>
    <w:multiLevelType w:val="singleLevel"/>
    <w:tmpl w:val="E70E23FB"/>
    <w:lvl w:ilvl="0" w:tentative="0">
      <w:start w:val="1"/>
      <w:numFmt w:val="decimal"/>
      <w:suff w:val="nothing"/>
      <w:lvlText w:val="%1）"/>
      <w:lvlJc w:val="left"/>
    </w:lvl>
  </w:abstractNum>
  <w:abstractNum w:abstractNumId="1">
    <w:nsid w:val="478F2F95"/>
    <w:multiLevelType w:val="singleLevel"/>
    <w:tmpl w:val="478F2F95"/>
    <w:lvl w:ilvl="0" w:tentative="0">
      <w:start w:val="6"/>
      <w:numFmt w:val="chineseCounting"/>
      <w:suff w:val="nothing"/>
      <w:lvlText w:val="%1、"/>
      <w:lvlJc w:val="left"/>
      <w:rPr>
        <w:rFonts w:hint="eastAsia"/>
      </w:rPr>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3F10C9"/>
    <w:rsid w:val="058C7F55"/>
    <w:rsid w:val="064854EE"/>
    <w:rsid w:val="2022651B"/>
    <w:rsid w:val="2CD405EA"/>
    <w:rsid w:val="331B1E49"/>
    <w:rsid w:val="36044B8D"/>
    <w:rsid w:val="411A128F"/>
    <w:rsid w:val="4387714A"/>
    <w:rsid w:val="47253964"/>
    <w:rsid w:val="49DB7569"/>
    <w:rsid w:val="4AEE562D"/>
    <w:rsid w:val="51D81108"/>
    <w:rsid w:val="552D07C5"/>
    <w:rsid w:val="5CC225DB"/>
    <w:rsid w:val="62D23489"/>
    <w:rsid w:val="69C96E5A"/>
    <w:rsid w:val="6C384AE2"/>
    <w:rsid w:val="6D9D65FE"/>
    <w:rsid w:val="73E02C83"/>
    <w:rsid w:val="752A40A8"/>
    <w:rsid w:val="7A7E01EA"/>
    <w:rsid w:val="7C2532EF"/>
    <w:rsid w:val="7F5F44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4"/>
    <w:qFormat/>
    <w:uiPriority w:val="99"/>
    <w:rPr>
      <w:rFonts w:ascii="Times New Roman" w:hAnsi="Times New Roman" w:eastAsia="宋体" w:cs="Times New Roman"/>
      <w:sz w:val="18"/>
      <w:szCs w:val="18"/>
    </w:rPr>
  </w:style>
  <w:style w:type="character" w:customStyle="1" w:styleId="12">
    <w:name w:val="页脚 Char"/>
    <w:basedOn w:val="8"/>
    <w:link w:val="3"/>
    <w:qFormat/>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3</TotalTime>
  <ScaleCrop>false</ScaleCrop>
  <LinksUpToDate>false</LinksUpToDate>
  <CharactersWithSpaces>5143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路人甲</cp:lastModifiedBy>
  <cp:lastPrinted>2019-05-13T03:19:00Z</cp:lastPrinted>
  <dcterms:modified xsi:type="dcterms:W3CDTF">2020-04-09T09:54:43Z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