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成都明为燃烧控制设备有限公司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0069-2020-E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91510114788147840Y</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9</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eastAsia" w:eastAsia="宋体"/>
                <w:color w:val="000000"/>
                <w:szCs w:val="21"/>
                <w:lang w:eastAsia="zh-CN"/>
              </w:rPr>
            </w:pPr>
            <w:r>
              <w:rPr>
                <w:rFonts w:hint="eastAsia" w:eastAsia="宋体"/>
                <w:color w:val="000000"/>
                <w:szCs w:val="21"/>
                <w:lang w:eastAsia="zh-CN"/>
              </w:rPr>
              <w:drawing>
                <wp:anchor distT="0" distB="0" distL="114300" distR="114300" simplePos="0" relativeHeight="251662336" behindDoc="0" locked="0" layoutInCell="1" allowOverlap="1">
                  <wp:simplePos x="0" y="0"/>
                  <wp:positionH relativeFrom="column">
                    <wp:posOffset>4216400</wp:posOffset>
                  </wp:positionH>
                  <wp:positionV relativeFrom="paragraph">
                    <wp:posOffset>99695</wp:posOffset>
                  </wp:positionV>
                  <wp:extent cx="377190" cy="267970"/>
                  <wp:effectExtent l="0" t="0" r="3810" b="1778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377190" cy="26797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jc w:val="right"/>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7EA0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21</TotalTime>
  <ScaleCrop>false</ScaleCrop>
  <LinksUpToDate>false</LinksUpToDate>
  <CharactersWithSpaces>1400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2020-03-27T01:12:40Z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