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sz w:val="24"/>
                <w:lang w:val="en-US" w:eastAsia="zh-CN"/>
              </w:rPr>
              <w:t>连建忠</w:t>
            </w:r>
            <w:r>
              <w:rPr>
                <w:rFonts w:ascii="宋体" w:hAnsi="宋体"/>
                <w:sz w:val="24"/>
                <w:szCs w:val="24"/>
              </w:rPr>
              <w:t xml:space="preserve">   </w:t>
            </w:r>
            <w:r>
              <w:rPr>
                <w:rFonts w:hint="eastAsia" w:ascii="宋体" w:hAnsi="宋体"/>
                <w:sz w:val="24"/>
                <w:szCs w:val="24"/>
              </w:rPr>
              <w:t>陪同人员：</w:t>
            </w:r>
            <w:r>
              <w:rPr>
                <w:rFonts w:hint="eastAsia"/>
                <w:sz w:val="24"/>
                <w:lang w:val="en-US" w:eastAsia="zh-CN"/>
              </w:rPr>
              <w:t>王鸿燕</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审核员：伍光华</w:t>
            </w:r>
            <w:r>
              <w:rPr>
                <w:rFonts w:ascii="宋体" w:hAnsi="宋体"/>
                <w:sz w:val="24"/>
                <w:szCs w:val="24"/>
              </w:rPr>
              <w:t xml:space="preserve">    </w:t>
            </w:r>
            <w:r>
              <w:rPr>
                <w:rFonts w:hint="eastAsia" w:ascii="宋体" w:hAnsi="宋体"/>
                <w:sz w:val="24"/>
                <w:szCs w:val="24"/>
              </w:rPr>
              <w:t>审核时间：</w:t>
            </w:r>
            <w:r>
              <w:rPr>
                <w:rFonts w:hint="eastAsia" w:ascii="宋体" w:hAnsi="宋体"/>
                <w:sz w:val="24"/>
                <w:szCs w:val="24"/>
                <w:lang w:val="en-US" w:eastAsia="zh-CN"/>
              </w:rPr>
              <w:t>2020.3.21</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ascii="宋体" w:hAnsi="宋体"/>
                <w:kern w:val="0"/>
                <w:sz w:val="21"/>
                <w:szCs w:val="21"/>
              </w:rPr>
            </w:pPr>
            <w:r>
              <w:rPr>
                <w:rFonts w:hint="eastAsia" w:ascii="宋体" w:hAnsi="宋体"/>
                <w:sz w:val="24"/>
                <w:szCs w:val="24"/>
              </w:rPr>
              <w:t>审核条款：</w:t>
            </w: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p>
          <w:p>
            <w:pPr>
              <w:adjustRightInd w:val="0"/>
              <w:snapToGrid w:val="0"/>
              <w:ind w:right="105" w:rightChars="50"/>
              <w:jc w:val="left"/>
              <w:textAlignment w:val="baseline"/>
              <w:rPr>
                <w:rFonts w:ascii="宋体"/>
                <w:sz w:val="24"/>
                <w:szCs w:val="24"/>
              </w:rPr>
            </w:pPr>
            <w:r>
              <w:rPr>
                <w:rFonts w:hint="eastAsia" w:ascii="宋体" w:hAnsi="宋体"/>
                <w:kern w:val="0"/>
                <w:sz w:val="21"/>
                <w:szCs w:val="21"/>
              </w:rPr>
              <w:t>国家/地方监督抽查情况；顾客满意、相关方投诉及处理情况；验证企业相关资质证明的有效性，一阶段问题验证；</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宋体" w:eastAsia="宋体"/>
                <w:sz w:val="21"/>
                <w:szCs w:val="21"/>
                <w:lang w:val="en-US" w:eastAsia="zh-CN"/>
              </w:rPr>
            </w:pPr>
            <w:r>
              <w:rPr>
                <w:rFonts w:hint="eastAsia" w:ascii="宋体" w:hAnsi="宋体"/>
                <w:sz w:val="21"/>
                <w:szCs w:val="21"/>
              </w:rPr>
              <w:t>面谈人员：最管理者</w:t>
            </w:r>
            <w:r>
              <w:rPr>
                <w:rFonts w:hint="eastAsia"/>
                <w:sz w:val="21"/>
                <w:szCs w:val="21"/>
                <w:lang w:val="en-US" w:eastAsia="zh-CN"/>
              </w:rPr>
              <w:t>段先高</w:t>
            </w:r>
            <w:r>
              <w:rPr>
                <w:rFonts w:hint="eastAsia" w:ascii="宋体" w:hAnsi="宋体"/>
                <w:sz w:val="21"/>
                <w:szCs w:val="21"/>
              </w:rPr>
              <w:t>、管代</w:t>
            </w:r>
            <w:r>
              <w:rPr>
                <w:rFonts w:hint="eastAsia"/>
                <w:sz w:val="21"/>
                <w:szCs w:val="21"/>
                <w:lang w:val="en-US" w:eastAsia="zh-CN"/>
              </w:rPr>
              <w:t>连建忠</w:t>
            </w:r>
          </w:p>
          <w:p>
            <w:pPr>
              <w:spacing w:line="360" w:lineRule="auto"/>
              <w:ind w:firstLine="420" w:firstLineChars="200"/>
              <w:rPr>
                <w:rFonts w:hint="eastAsia" w:ascii="宋体" w:hAnsi="宋体"/>
                <w:spacing w:val="20"/>
                <w:sz w:val="21"/>
                <w:szCs w:val="21"/>
                <w:lang w:val="de-DE"/>
              </w:rPr>
            </w:pPr>
            <w:r>
              <w:rPr>
                <w:rFonts w:hint="eastAsia" w:ascii="宋体" w:hAnsi="宋体"/>
                <w:sz w:val="21"/>
                <w:szCs w:val="21"/>
              </w:rPr>
              <w:t>公司成立于</w:t>
            </w:r>
            <w:r>
              <w:rPr>
                <w:rFonts w:ascii="宋体" w:hAnsi="宋体"/>
                <w:sz w:val="21"/>
                <w:szCs w:val="21"/>
              </w:rPr>
              <w:t>20</w:t>
            </w:r>
            <w:r>
              <w:rPr>
                <w:rFonts w:hint="eastAsia" w:ascii="宋体" w:hAnsi="宋体"/>
                <w:sz w:val="21"/>
                <w:szCs w:val="21"/>
                <w:lang w:val="en-US" w:eastAsia="zh-CN"/>
              </w:rPr>
              <w:t>12</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17</w:t>
            </w:r>
            <w:r>
              <w:rPr>
                <w:rFonts w:hint="eastAsia" w:ascii="宋体" w:hAnsi="宋体"/>
                <w:sz w:val="21"/>
                <w:szCs w:val="21"/>
              </w:rPr>
              <w:t>日，法人代表</w:t>
            </w:r>
            <w:r>
              <w:rPr>
                <w:rFonts w:hint="eastAsia"/>
                <w:sz w:val="21"/>
                <w:szCs w:val="21"/>
                <w:lang w:val="en-US" w:eastAsia="zh-CN"/>
              </w:rPr>
              <w:t>段先高</w:t>
            </w:r>
            <w:r>
              <w:rPr>
                <w:rFonts w:hint="eastAsia" w:ascii="宋体" w:hAnsi="宋体"/>
                <w:sz w:val="21"/>
                <w:szCs w:val="21"/>
              </w:rPr>
              <w:t>，注册地址：</w:t>
            </w:r>
            <w:bookmarkStart w:id="0" w:name="生产地址"/>
            <w:r>
              <w:rPr>
                <w:rFonts w:asciiTheme="minorEastAsia" w:hAnsiTheme="minorEastAsia" w:eastAsiaTheme="minorEastAsia"/>
                <w:sz w:val="21"/>
                <w:szCs w:val="21"/>
              </w:rPr>
              <w:t>福建省泉州市丰泽区北峰街道潘山田厝山工业区第一栋三楼</w:t>
            </w:r>
            <w:bookmarkEnd w:id="0"/>
            <w:r>
              <w:rPr>
                <w:rFonts w:hint="eastAsia"/>
                <w:color w:val="000000"/>
                <w:sz w:val="21"/>
                <w:szCs w:val="21"/>
              </w:rPr>
              <w:t>。</w:t>
            </w:r>
            <w:r>
              <w:rPr>
                <w:rFonts w:hint="eastAsia" w:ascii="宋体" w:hAnsi="宋体"/>
                <w:spacing w:val="20"/>
                <w:sz w:val="21"/>
                <w:szCs w:val="21"/>
                <w:lang w:val="de-DE"/>
              </w:rPr>
              <w:t>经营范围</w:t>
            </w:r>
            <w:bookmarkStart w:id="1" w:name="审核范围"/>
            <w:r>
              <w:rPr>
                <w:sz w:val="20"/>
              </w:rPr>
              <w:t>教学家具、办公家具、酒店家具的销售</w:t>
            </w:r>
            <w:r>
              <w:rPr>
                <w:rFonts w:ascii="宋体" w:hAnsi="宋体"/>
                <w:b w:val="0"/>
                <w:bCs/>
                <w:color w:val="000000" w:themeColor="text1"/>
                <w:sz w:val="21"/>
                <w:szCs w:val="21"/>
              </w:rPr>
              <w:t>。</w:t>
            </w:r>
            <w:bookmarkEnd w:id="1"/>
          </w:p>
          <w:p>
            <w:pPr>
              <w:spacing w:line="360" w:lineRule="auto"/>
              <w:ind w:firstLine="500" w:firstLineChars="200"/>
              <w:rPr>
                <w:rFonts w:ascii="宋体"/>
                <w:sz w:val="21"/>
                <w:szCs w:val="21"/>
              </w:rPr>
            </w:pPr>
            <w:r>
              <w:rPr>
                <w:rFonts w:hint="eastAsia" w:ascii="宋体" w:hAnsi="宋体"/>
                <w:spacing w:val="20"/>
                <w:sz w:val="21"/>
                <w:szCs w:val="21"/>
                <w:lang w:val="de-DE"/>
              </w:rPr>
              <w:t>经营范围包括了认证范围内产品。</w:t>
            </w:r>
          </w:p>
        </w:tc>
        <w:tc>
          <w:tcPr>
            <w:tcW w:w="1585" w:type="dxa"/>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sz w:val="21"/>
                <w:szCs w:val="21"/>
                <w:lang w:val="en-US" w:eastAsia="zh-CN"/>
              </w:rPr>
              <w:t>连建忠</w:t>
            </w:r>
            <w:r>
              <w:rPr>
                <w:rFonts w:hint="eastAsia" w:ascii="宋体" w:hAnsi="宋体"/>
                <w:szCs w:val="24"/>
              </w:rPr>
              <w:t>介绍，公司管理体系运行已</w:t>
            </w:r>
            <w:r>
              <w:rPr>
                <w:rFonts w:hint="eastAsia" w:ascii="宋体" w:hAnsi="宋体"/>
                <w:szCs w:val="24"/>
                <w:lang w:val="en-US" w:eastAsia="zh-CN"/>
              </w:rPr>
              <w:t>10</w:t>
            </w:r>
            <w:r>
              <w:rPr>
                <w:rFonts w:hint="eastAsia" w:ascii="宋体" w:hAnsi="宋体"/>
                <w:szCs w:val="24"/>
              </w:rPr>
              <w:t>个多月。对部门及其职责进行了规定，设有</w:t>
            </w:r>
            <w:r>
              <w:rPr>
                <w:rFonts w:hint="eastAsia" w:ascii="宋体" w:hAnsi="宋体"/>
                <w:szCs w:val="24"/>
                <w:lang w:val="en-US" w:eastAsia="zh-CN"/>
              </w:rPr>
              <w:t>行政部、业务部</w:t>
            </w:r>
            <w:r>
              <w:rPr>
                <w:rFonts w:hint="eastAsia" w:ascii="宋体" w:hAnsi="宋体"/>
                <w:szCs w:val="24"/>
              </w:rPr>
              <w:t>，编制了岗位职责汇编，以文件上发的形式沟通各部门的职责及各部门之间工作的联系。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sz w:val="21"/>
                <w:szCs w:val="21"/>
                <w:lang w:val="en-US" w:eastAsia="zh-CN"/>
              </w:rPr>
              <w:t>段先高</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sz w:val="21"/>
                <w:szCs w:val="21"/>
                <w:lang w:val="en-US" w:eastAsia="zh-CN"/>
              </w:rPr>
              <w:t>连建忠</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w:t>
            </w:r>
            <w:r>
              <w:rPr>
                <w:rFonts w:hint="eastAsia" w:ascii="宋体" w:hAnsi="宋体"/>
                <w:szCs w:val="24"/>
                <w:lang w:val="en-US" w:eastAsia="zh-CN"/>
              </w:rPr>
              <w:t>环境管理</w:t>
            </w:r>
            <w:r>
              <w:rPr>
                <w:rFonts w:hint="eastAsia" w:ascii="宋体" w:hAnsi="宋体"/>
                <w:szCs w:val="24"/>
              </w:rPr>
              <w:t>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2019</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月开始运行</w:t>
            </w:r>
            <w:r>
              <w:rPr>
                <w:rFonts w:hint="eastAsia" w:ascii="宋体" w:hAnsi="宋体"/>
                <w:szCs w:val="24"/>
                <w:lang w:val="en-US" w:eastAsia="zh-CN"/>
              </w:rPr>
              <w:t>环境管理</w:t>
            </w:r>
            <w:r>
              <w:rPr>
                <w:rFonts w:hint="eastAsia" w:ascii="宋体" w:hAnsi="宋体"/>
                <w:szCs w:val="24"/>
              </w:rPr>
              <w:t>体系，组织了内审员培训，识别了生产的过程及其相互关系，企业提供编号</w:t>
            </w:r>
            <w:r>
              <w:rPr>
                <w:rFonts w:hint="eastAsia" w:ascii="宋体" w:hAnsi="宋体"/>
                <w:b/>
                <w:bCs/>
                <w:szCs w:val="24"/>
              </w:rPr>
              <w:t>：</w:t>
            </w:r>
            <w:r>
              <w:rPr>
                <w:rFonts w:hint="eastAsia"/>
                <w:b w:val="0"/>
                <w:bCs/>
                <w:sz w:val="21"/>
                <w:szCs w:val="21"/>
              </w:rPr>
              <w:t>MS</w:t>
            </w:r>
            <w:r>
              <w:rPr>
                <w:b w:val="0"/>
                <w:bCs/>
                <w:sz w:val="21"/>
                <w:szCs w:val="21"/>
              </w:rPr>
              <w:t>-</w:t>
            </w:r>
            <w:r>
              <w:rPr>
                <w:rFonts w:hint="eastAsia"/>
                <w:b w:val="0"/>
                <w:bCs/>
                <w:sz w:val="21"/>
                <w:szCs w:val="21"/>
              </w:rPr>
              <w:t>EM</w:t>
            </w:r>
            <w:r>
              <w:rPr>
                <w:b w:val="0"/>
                <w:bCs/>
                <w:sz w:val="21"/>
                <w:szCs w:val="21"/>
              </w:rPr>
              <w:t>-01</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2019.</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10</w:t>
            </w:r>
            <w:r>
              <w:rPr>
                <w:rFonts w:hint="eastAsia" w:ascii="宋体" w:hAnsi="宋体"/>
                <w:szCs w:val="24"/>
              </w:rPr>
              <w:t>发布，</w:t>
            </w:r>
            <w:r>
              <w:rPr>
                <w:rFonts w:ascii="宋体" w:hAnsi="宋体"/>
                <w:szCs w:val="24"/>
              </w:rPr>
              <w:t>2019.</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10</w:t>
            </w:r>
            <w:r>
              <w:rPr>
                <w:rFonts w:hint="eastAsia" w:ascii="宋体" w:hAnsi="宋体"/>
                <w:szCs w:val="24"/>
              </w:rPr>
              <w:t>实施；总经理</w:t>
            </w:r>
            <w:r>
              <w:rPr>
                <w:rFonts w:hint="eastAsia"/>
                <w:sz w:val="21"/>
                <w:szCs w:val="21"/>
                <w:lang w:val="en-US" w:eastAsia="zh-CN"/>
              </w:rPr>
              <w:t>段先高</w:t>
            </w:r>
            <w:r>
              <w:rPr>
                <w:rFonts w:hint="eastAsia" w:ascii="宋体" w:hAnsi="宋体"/>
                <w:szCs w:val="24"/>
              </w:rPr>
              <w:t>批准。任命管代：</w:t>
            </w:r>
            <w:r>
              <w:rPr>
                <w:rFonts w:hint="eastAsia" w:ascii="宋体" w:hAnsi="宋体"/>
                <w:szCs w:val="24"/>
                <w:lang w:val="en-US" w:eastAsia="zh-CN"/>
              </w:rPr>
              <w:t>连建忠</w:t>
            </w:r>
            <w:r>
              <w:rPr>
                <w:rFonts w:hint="eastAsia" w:ascii="宋体" w:hAnsi="宋体"/>
                <w:szCs w:val="24"/>
              </w:rPr>
              <w:t>；现有手册从发布实施以来已经运行</w:t>
            </w:r>
            <w:r>
              <w:rPr>
                <w:rFonts w:ascii="宋体" w:hAnsi="宋体"/>
                <w:szCs w:val="24"/>
              </w:rPr>
              <w:t xml:space="preserve"> </w:t>
            </w:r>
            <w:r>
              <w:rPr>
                <w:rFonts w:hint="eastAsia" w:ascii="宋体" w:hAnsi="宋体"/>
                <w:szCs w:val="24"/>
                <w:lang w:val="en-US" w:eastAsia="zh-CN"/>
              </w:rPr>
              <w:t>6</w:t>
            </w:r>
            <w:r>
              <w:rPr>
                <w:rFonts w:hint="eastAsia" w:ascii="宋体" w:hAnsi="宋体"/>
                <w:szCs w:val="24"/>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b w:val="0"/>
                <w:bCs/>
                <w:sz w:val="21"/>
                <w:szCs w:val="21"/>
              </w:rPr>
              <w:t>MS</w:t>
            </w:r>
            <w:r>
              <w:rPr>
                <w:b w:val="0"/>
                <w:bCs/>
                <w:sz w:val="21"/>
                <w:szCs w:val="21"/>
              </w:rPr>
              <w:t>-</w:t>
            </w:r>
            <w:r>
              <w:rPr>
                <w:rFonts w:hint="eastAsia"/>
                <w:b w:val="0"/>
                <w:bCs/>
                <w:sz w:val="21"/>
                <w:szCs w:val="21"/>
              </w:rPr>
              <w:t>EM</w:t>
            </w:r>
            <w:r>
              <w:rPr>
                <w:b w:val="0"/>
                <w:bCs/>
                <w:sz w:val="21"/>
                <w:szCs w:val="21"/>
              </w:rPr>
              <w:t>-01</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sz w:val="21"/>
                <w:szCs w:val="21"/>
                <w:lang w:val="en-US" w:eastAsia="zh-CN"/>
              </w:rPr>
              <w:t>段先高</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w:t>
            </w:r>
            <w:r>
              <w:rPr>
                <w:rFonts w:hint="eastAsia" w:ascii="宋体" w:hAnsi="宋体"/>
                <w:color w:val="000000"/>
                <w:szCs w:val="24"/>
                <w:lang w:val="en-US" w:eastAsia="zh-CN"/>
              </w:rPr>
              <w:t>福建省</w:t>
            </w:r>
            <w:bookmarkStart w:id="2" w:name="_GoBack"/>
            <w:bookmarkEnd w:id="2"/>
            <w:r>
              <w:rPr>
                <w:rFonts w:hint="eastAsia" w:ascii="宋体" w:hAnsi="宋体"/>
                <w:color w:val="000000"/>
                <w:szCs w:val="24"/>
              </w:rPr>
              <w:t>行业内占据一定市场</w:t>
            </w:r>
            <w:r>
              <w:rPr>
                <w:rFonts w:hint="eastAsia" w:ascii="宋体" w:hAnsi="宋体"/>
                <w:color w:val="000000"/>
                <w:szCs w:val="24"/>
                <w:lang w:val="en-US" w:eastAsia="zh-CN"/>
              </w:rPr>
              <w:t>份额</w:t>
            </w:r>
            <w:r>
              <w:rPr>
                <w:rFonts w:hint="eastAsia" w:ascii="宋体" w:hAnsi="宋体"/>
                <w:color w:val="000000"/>
                <w:szCs w:val="24"/>
              </w:rPr>
              <w:t>。</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sz w:val="20"/>
              </w:rPr>
              <w:t>教学家具、办公家具、酒店家具的销售及其所涉及场所的相关环境管理活动</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hint="eastAsia" w:ascii="宋体" w:hAnsi="宋体"/>
                <w:szCs w:val="24"/>
              </w:rPr>
            </w:pPr>
            <w:r>
              <w:rPr>
                <w:rFonts w:hint="eastAsia" w:ascii="宋体" w:hAnsi="宋体"/>
                <w:szCs w:val="24"/>
              </w:rPr>
              <w:t>企业已经制定环境方针，具体包含在《管理手册》，公司的环境方针是：</w:t>
            </w:r>
          </w:p>
          <w:p>
            <w:pPr>
              <w:spacing w:line="360" w:lineRule="auto"/>
              <w:ind w:firstLine="840" w:firstLineChars="400"/>
              <w:rPr>
                <w:rFonts w:hAnsi="宋体"/>
                <w:b w:val="0"/>
                <w:bCs/>
                <w:sz w:val="21"/>
                <w:szCs w:val="21"/>
              </w:rPr>
            </w:pPr>
            <w:r>
              <w:rPr>
                <w:rFonts w:hint="eastAsia" w:hAnsi="宋体"/>
                <w:b w:val="0"/>
                <w:bCs/>
                <w:sz w:val="21"/>
                <w:szCs w:val="21"/>
              </w:rPr>
              <w:t>以人为本  保护环境  珍惜资源  和谐发展</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sz w:val="21"/>
                <w:szCs w:val="21"/>
                <w:lang w:val="en-US" w:eastAsia="zh-CN"/>
              </w:rPr>
              <w:t>段先高</w:t>
            </w:r>
            <w:r>
              <w:rPr>
                <w:rFonts w:hint="eastAsia" w:ascii="宋体" w:hAnsi="宋体"/>
                <w:szCs w:val="24"/>
              </w:rPr>
              <w:t>；管代：</w:t>
            </w:r>
            <w:r>
              <w:rPr>
                <w:rFonts w:hint="eastAsia" w:ascii="宋体" w:hAnsi="宋体"/>
                <w:szCs w:val="21"/>
                <w:lang w:val="en-US" w:eastAsia="zh-CN"/>
              </w:rPr>
              <w:t>连建忠</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hint="eastAsia" w:ascii="宋体" w:hAnsi="宋体"/>
                <w:color w:val="000000"/>
                <w:szCs w:val="24"/>
                <w:lang w:val="en-US" w:eastAsia="zh-CN"/>
              </w:rPr>
              <w:t>2</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rPr>
                <w:rFonts w:ascii="宋体"/>
                <w:szCs w:val="24"/>
              </w:rPr>
            </w:pPr>
            <w:r>
              <w:rPr>
                <w:rFonts w:hint="eastAsia" w:ascii="宋体" w:hAnsi="宋体"/>
                <w:szCs w:val="24"/>
              </w:rPr>
              <w:t>环境目标：</w:t>
            </w:r>
          </w:p>
          <w:p>
            <w:pPr>
              <w:numPr>
                <w:ilvl w:val="0"/>
                <w:numId w:val="1"/>
              </w:numPr>
              <w:spacing w:line="410" w:lineRule="exact"/>
              <w:rPr>
                <w:rFonts w:hint="eastAsia" w:ascii="Arial" w:hAnsi="Arial" w:cs="Arial"/>
                <w:color w:val="auto"/>
                <w:szCs w:val="21"/>
              </w:rPr>
            </w:pPr>
            <w:r>
              <w:rPr>
                <w:rFonts w:hint="eastAsia" w:ascii="Arial" w:hAnsi="Arial" w:cs="Arial"/>
                <w:color w:val="auto"/>
                <w:szCs w:val="21"/>
              </w:rPr>
              <w:t>固体弃物有效处置率100％；</w:t>
            </w:r>
          </w:p>
          <w:p>
            <w:pPr>
              <w:numPr>
                <w:ilvl w:val="0"/>
                <w:numId w:val="1"/>
              </w:numPr>
              <w:spacing w:line="410" w:lineRule="exact"/>
              <w:rPr>
                <w:rFonts w:hint="eastAsia" w:ascii="Arial" w:hAnsi="Arial" w:cs="Arial"/>
                <w:color w:val="auto"/>
                <w:szCs w:val="21"/>
              </w:rPr>
            </w:pPr>
            <w:r>
              <w:rPr>
                <w:rFonts w:hint="eastAsia" w:ascii="Arial" w:hAnsi="Arial" w:cs="Arial"/>
                <w:color w:val="auto"/>
                <w:szCs w:val="21"/>
              </w:rPr>
              <w:t>资源节约同比降低1%</w:t>
            </w:r>
          </w:p>
          <w:p>
            <w:pPr>
              <w:spacing w:line="410" w:lineRule="exact"/>
              <w:ind w:firstLine="420" w:firstLineChars="200"/>
              <w:rPr>
                <w:rFonts w:hint="eastAsia" w:ascii="Arial" w:hAnsi="Arial" w:cs="Arial"/>
                <w:color w:val="auto"/>
                <w:szCs w:val="21"/>
              </w:rPr>
            </w:pPr>
            <w:r>
              <w:rPr>
                <w:rFonts w:hint="eastAsia" w:ascii="Arial" w:hAnsi="Arial" w:cs="Arial"/>
                <w:color w:val="auto"/>
                <w:szCs w:val="21"/>
              </w:rPr>
              <w:t>3、杜绝火灾事故；</w:t>
            </w:r>
          </w:p>
          <w:p>
            <w:pPr>
              <w:spacing w:line="360" w:lineRule="auto"/>
              <w:ind w:firstLine="420" w:firstLineChars="200"/>
              <w:rPr>
                <w:rFonts w:hint="eastAsia" w:ascii="宋体" w:hAnsi="宋体"/>
                <w:szCs w:val="24"/>
                <w:lang w:val="en-US" w:eastAsia="zh-CN"/>
              </w:rPr>
            </w:pPr>
            <w:r>
              <w:rPr>
                <w:rFonts w:hint="eastAsia" w:ascii="宋体" w:hAnsi="宋体"/>
                <w:szCs w:val="24"/>
              </w:rPr>
              <w:t>组织对公司环境目标、指标予以分解，并在相关职能层次部门建立分目标，</w:t>
            </w:r>
            <w:r>
              <w:rPr>
                <w:rFonts w:hint="eastAsia" w:ascii="宋体" w:hAnsi="宋体"/>
                <w:szCs w:val="24"/>
                <w:lang w:val="en-US" w:eastAsia="zh-CN"/>
              </w:rPr>
              <w:t>见相关部门审核记录</w:t>
            </w:r>
          </w:p>
          <w:p>
            <w:pPr>
              <w:spacing w:line="360" w:lineRule="auto"/>
              <w:ind w:firstLine="420" w:firstLineChars="200"/>
              <w:rPr>
                <w:rFonts w:hint="default" w:ascii="宋体" w:hAnsi="宋体"/>
                <w:szCs w:val="24"/>
                <w:lang w:val="en-US" w:eastAsia="zh-CN"/>
              </w:rPr>
            </w:pPr>
            <w:r>
              <w:rPr>
                <w:rFonts w:hint="eastAsia" w:ascii="宋体" w:hAnsi="宋体"/>
                <w:szCs w:val="24"/>
                <w:lang w:val="en-US" w:eastAsia="zh-CN"/>
              </w:rPr>
              <w:t>提供公司及各部门环境目标考核表，2019.5-11月考核各部门目标均已完成。</w:t>
            </w:r>
          </w:p>
          <w:p>
            <w:pPr>
              <w:spacing w:line="360" w:lineRule="auto"/>
              <w:rPr>
                <w:rFonts w:ascii="宋体"/>
                <w:szCs w:val="24"/>
              </w:rPr>
            </w:pP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2019</w:t>
            </w:r>
            <w:r>
              <w:rPr>
                <w:rFonts w:hint="eastAsia" w:ascii="宋体" w:hAnsi="宋体"/>
                <w:szCs w:val="24"/>
              </w:rPr>
              <w:t>年环保安全资金投入计划财务支出明细，至今支出</w:t>
            </w:r>
            <w:r>
              <w:rPr>
                <w:rFonts w:hint="eastAsia" w:ascii="宋体" w:hAnsi="宋体"/>
                <w:szCs w:val="24"/>
                <w:lang w:val="en-US" w:eastAsia="zh-CN"/>
              </w:rPr>
              <w:t>2</w:t>
            </w:r>
            <w:r>
              <w:rPr>
                <w:rFonts w:hint="eastAsia" w:ascii="宋体" w:hAnsi="宋体"/>
                <w:szCs w:val="24"/>
              </w:rPr>
              <w:t>万元。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段先高</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段先高</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连建忠</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行政部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2019.</w:t>
            </w:r>
            <w:r>
              <w:rPr>
                <w:rFonts w:hint="eastAsia" w:ascii="宋体" w:hAnsi="宋体"/>
                <w:szCs w:val="24"/>
                <w:lang w:val="en-US" w:eastAsia="zh-CN"/>
              </w:rPr>
              <w:t>9</w:t>
            </w:r>
            <w:r>
              <w:rPr>
                <w:rFonts w:ascii="宋体" w:hAnsi="宋体"/>
                <w:szCs w:val="24"/>
              </w:rPr>
              <w:t>.2</w:t>
            </w:r>
            <w:r>
              <w:rPr>
                <w:rFonts w:hint="eastAsia" w:ascii="宋体" w:hAnsi="宋体"/>
                <w:szCs w:val="24"/>
                <w:lang w:val="en-US" w:eastAsia="zh-CN"/>
              </w:rPr>
              <w:t>5</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郑月霞</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szCs w:val="21"/>
              </w:rPr>
            </w:pPr>
            <w:r>
              <w:rPr>
                <w:rFonts w:hint="eastAsia" w:ascii="宋体" w:hAnsi="宋体"/>
                <w:szCs w:val="24"/>
              </w:rPr>
              <w:t>提出了</w:t>
            </w:r>
            <w:r>
              <w:rPr>
                <w:rFonts w:hint="eastAsia" w:ascii="宋体" w:hAnsi="宋体"/>
                <w:szCs w:val="24"/>
                <w:lang w:val="en-US" w:eastAsia="zh-CN"/>
              </w:rPr>
              <w:t>1</w:t>
            </w:r>
            <w:r>
              <w:rPr>
                <w:rFonts w:hint="eastAsia" w:ascii="宋体" w:hAnsi="宋体"/>
                <w:szCs w:val="24"/>
              </w:rPr>
              <w:t>项改进措施</w:t>
            </w:r>
            <w:r>
              <w:rPr>
                <w:rFonts w:ascii="宋体" w:hAnsi="宋体"/>
                <w:szCs w:val="24"/>
              </w:rPr>
              <w:t xml:space="preserve">: </w:t>
            </w:r>
            <w:r>
              <w:rPr>
                <w:rFonts w:hint="eastAsia" w:ascii="宋体" w:hAnsi="宋体"/>
              </w:rPr>
              <w:t>加大环境管理人员培训力度。</w:t>
            </w:r>
          </w:p>
          <w:p>
            <w:pPr>
              <w:spacing w:line="360" w:lineRule="auto"/>
              <w:ind w:firstLine="210" w:firstLineChars="100"/>
              <w:rPr>
                <w:rFonts w:ascii="宋体"/>
                <w:szCs w:val="24"/>
              </w:rPr>
            </w:pPr>
            <w:r>
              <w:rPr>
                <w:rFonts w:hint="eastAsia" w:ascii="宋体" w:hAnsi="宋体"/>
                <w:szCs w:val="24"/>
              </w:rPr>
              <w:t>管理评审的策划及实施符合要求。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行政部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一阶段审核时发现的问题，经现场验证已关闭，整改措施有效。</w:t>
            </w:r>
          </w:p>
        </w:tc>
        <w:tc>
          <w:tcPr>
            <w:tcW w:w="1585" w:type="dxa"/>
          </w:tcPr>
          <w:p>
            <w:pPr>
              <w:rPr>
                <w:rFonts w:ascii="宋体"/>
                <w:sz w:val="24"/>
                <w:szCs w:val="24"/>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AAPML+o¨²¨¬?">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744"/>
    <w:multiLevelType w:val="multilevel"/>
    <w:tmpl w:val="1A37574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DD03A7"/>
    <w:rsid w:val="0952002A"/>
    <w:rsid w:val="108219C2"/>
    <w:rsid w:val="204B246C"/>
    <w:rsid w:val="2F2A2336"/>
    <w:rsid w:val="36BD6FED"/>
    <w:rsid w:val="43C65B90"/>
    <w:rsid w:val="43F8642C"/>
    <w:rsid w:val="45F91B41"/>
    <w:rsid w:val="5192394B"/>
    <w:rsid w:val="537F77EE"/>
    <w:rsid w:val="55993DCF"/>
    <w:rsid w:val="597F7155"/>
    <w:rsid w:val="5A21345D"/>
    <w:rsid w:val="5EA12B9A"/>
    <w:rsid w:val="62D3586D"/>
    <w:rsid w:val="66CF4AA5"/>
    <w:rsid w:val="6DD70F24"/>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7</TotalTime>
  <ScaleCrop>false</ScaleCrop>
  <LinksUpToDate>false</LinksUpToDate>
  <CharactersWithSpaces>7702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cp:lastModifiedBy>
  <dcterms:modified xsi:type="dcterms:W3CDTF">2020-03-21T03:00:19Z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