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15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150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洪俊平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连建忠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150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2020.3.21</w:t>
            </w:r>
          </w:p>
        </w:tc>
        <w:tc>
          <w:tcPr>
            <w:tcW w:w="1439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15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439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150" w:type="dxa"/>
          </w:tcPr>
          <w:p>
            <w:pPr>
              <w:pStyle w:val="2"/>
              <w:numPr>
                <w:numId w:val="0"/>
              </w:numPr>
              <w:spacing w:line="41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现场审核过程了解到部门主要负责：</w:t>
            </w:r>
          </w:p>
          <w:p>
            <w:pPr>
              <w:pStyle w:val="2"/>
              <w:numPr>
                <w:ilvl w:val="0"/>
                <w:numId w:val="1"/>
              </w:numPr>
              <w:spacing w:line="41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负责与顾客沟通，收集、处理有关信息，负责</w:t>
            </w:r>
            <w:r>
              <w:rPr>
                <w:rFonts w:hint="eastAsia"/>
                <w:sz w:val="21"/>
                <w:szCs w:val="21"/>
              </w:rPr>
              <w:t>组织</w:t>
            </w:r>
            <w:r>
              <w:rPr>
                <w:sz w:val="21"/>
                <w:szCs w:val="21"/>
              </w:rPr>
              <w:t>与产品有关</w:t>
            </w:r>
            <w:r>
              <w:rPr>
                <w:rFonts w:hint="eastAsia"/>
                <w:sz w:val="21"/>
                <w:szCs w:val="21"/>
              </w:rPr>
              <w:t>环保</w:t>
            </w:r>
            <w:r>
              <w:rPr>
                <w:sz w:val="21"/>
                <w:szCs w:val="21"/>
              </w:rPr>
              <w:t xml:space="preserve">要求的评审； </w:t>
            </w:r>
          </w:p>
          <w:p>
            <w:pPr>
              <w:pStyle w:val="2"/>
              <w:numPr>
                <w:ilvl w:val="0"/>
                <w:numId w:val="1"/>
              </w:numPr>
              <w:spacing w:line="41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</w:t>
            </w:r>
            <w:r>
              <w:rPr>
                <w:sz w:val="21"/>
                <w:szCs w:val="21"/>
              </w:rPr>
              <w:t>公司产品的宣传、推广、销售</w:t>
            </w:r>
            <w:r>
              <w:rPr>
                <w:rFonts w:hint="eastAsia"/>
                <w:sz w:val="21"/>
                <w:szCs w:val="21"/>
              </w:rPr>
              <w:t>、回款</w:t>
            </w:r>
            <w:r>
              <w:rPr>
                <w:sz w:val="21"/>
                <w:szCs w:val="21"/>
              </w:rPr>
              <w:t>以及公司的形象宣传</w:t>
            </w:r>
            <w:r>
              <w:rPr>
                <w:rFonts w:hint="eastAsia"/>
                <w:sz w:val="21"/>
                <w:szCs w:val="21"/>
              </w:rPr>
              <w:t>等所有销售活动管理。</w:t>
            </w:r>
          </w:p>
          <w:p>
            <w:pPr>
              <w:pStyle w:val="2"/>
              <w:numPr>
                <w:ilvl w:val="0"/>
                <w:numId w:val="1"/>
              </w:numPr>
              <w:spacing w:line="410" w:lineRule="exact"/>
              <w:ind w:left="826" w:hanging="346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负责保持与顾客进行有关的</w:t>
            </w:r>
            <w:r>
              <w:rPr>
                <w:rFonts w:hint="eastAsia"/>
                <w:sz w:val="21"/>
                <w:szCs w:val="21"/>
              </w:rPr>
              <w:t>环境</w:t>
            </w:r>
            <w:r>
              <w:rPr>
                <w:sz w:val="21"/>
                <w:szCs w:val="21"/>
              </w:rPr>
              <w:t>信息交流，并将管理信息传递给有关人员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41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负责环保用品采购流程的管理与供应商管理，要求供应商提供相关资料；</w:t>
            </w:r>
            <w:r>
              <w:rPr>
                <w:sz w:val="21"/>
                <w:szCs w:val="21"/>
              </w:rPr>
              <w:t xml:space="preserve">                                                                     </w:t>
            </w:r>
          </w:p>
          <w:p>
            <w:pPr>
              <w:pStyle w:val="2"/>
              <w:numPr>
                <w:ilvl w:val="0"/>
                <w:numId w:val="2"/>
              </w:numPr>
              <w:spacing w:line="410" w:lineRule="exact"/>
              <w:ind w:left="826" w:hanging="34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寻找合适的供应商，询价并议价，确定最终的采购价格。</w:t>
            </w:r>
          </w:p>
          <w:p>
            <w:pPr>
              <w:pStyle w:val="2"/>
              <w:numPr>
                <w:ilvl w:val="0"/>
                <w:numId w:val="2"/>
              </w:numPr>
              <w:spacing w:line="410" w:lineRule="exact"/>
              <w:ind w:left="826" w:hanging="34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对供应商进行评估、选择及管理，确保供应商和相关材料符合环保的要求。</w:t>
            </w:r>
          </w:p>
          <w:p>
            <w:pPr>
              <w:pStyle w:val="2"/>
              <w:numPr>
                <w:ilvl w:val="0"/>
                <w:numId w:val="2"/>
              </w:numPr>
              <w:spacing w:line="410" w:lineRule="exact"/>
              <w:ind w:left="826" w:hanging="34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负责公司采购环保用品用品的保管。</w:t>
            </w:r>
          </w:p>
          <w:p>
            <w:pPr>
              <w:pStyle w:val="2"/>
              <w:numPr>
                <w:ilvl w:val="0"/>
                <w:numId w:val="2"/>
              </w:numPr>
              <w:spacing w:line="410" w:lineRule="exact"/>
              <w:ind w:left="826" w:hanging="34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负责向供方传达公司有关与的环境</w:t>
            </w:r>
            <w:r>
              <w:rPr>
                <w:sz w:val="21"/>
                <w:szCs w:val="21"/>
              </w:rPr>
              <w:t>管理要求</w:t>
            </w:r>
            <w:r>
              <w:rPr>
                <w:rFonts w:hint="eastAsia"/>
                <w:sz w:val="21"/>
                <w:szCs w:val="21"/>
              </w:rPr>
              <w:t>和信息，</w:t>
            </w:r>
            <w:r>
              <w:rPr>
                <w:sz w:val="21"/>
                <w:szCs w:val="21"/>
              </w:rPr>
              <w:t>对供方实施评价，实施</w:t>
            </w:r>
            <w:r>
              <w:rPr>
                <w:rFonts w:hint="eastAsia"/>
                <w:sz w:val="21"/>
                <w:szCs w:val="21"/>
              </w:rPr>
              <w:t>环境</w:t>
            </w:r>
            <w:r>
              <w:rPr>
                <w:sz w:val="21"/>
                <w:szCs w:val="21"/>
              </w:rPr>
              <w:t>影响，有需要时对供方进行现场实施的验证活动；对外部供方的业绩进行控制和监视，</w:t>
            </w:r>
            <w:r>
              <w:rPr>
                <w:rFonts w:hint="eastAsia"/>
                <w:sz w:val="21"/>
                <w:szCs w:val="21"/>
              </w:rPr>
              <w:t>促进供方改进与绩效提升。</w:t>
            </w:r>
          </w:p>
          <w:p>
            <w:pPr>
              <w:pStyle w:val="2"/>
              <w:numPr>
                <w:ilvl w:val="0"/>
                <w:numId w:val="2"/>
              </w:numPr>
              <w:spacing w:line="410" w:lineRule="exact"/>
              <w:ind w:left="826" w:hanging="346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完成领导交办的其它工作。</w:t>
            </w:r>
          </w:p>
          <w:p>
            <w:pPr>
              <w:spacing w:line="360" w:lineRule="auto"/>
              <w:ind w:firstLine="420" w:firstLineChars="200"/>
              <w:rPr>
                <w:rFonts w:ascii="宋体" w:cs="宋体"/>
                <w:szCs w:val="21"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439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150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tbl>
            <w:tblPr>
              <w:tblW w:w="10400" w:type="dxa"/>
              <w:tblInd w:w="-1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69"/>
              <w:gridCol w:w="1166"/>
              <w:gridCol w:w="989"/>
              <w:gridCol w:w="623"/>
              <w:gridCol w:w="688"/>
              <w:gridCol w:w="678"/>
              <w:gridCol w:w="845"/>
              <w:gridCol w:w="711"/>
              <w:gridCol w:w="711"/>
              <w:gridCol w:w="1320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26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KPI项目</w:t>
                  </w: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目标值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频率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5月</w:t>
                  </w: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6月</w:t>
                  </w:r>
                </w:p>
              </w:tc>
              <w:tc>
                <w:tcPr>
                  <w:tcW w:w="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7月</w:t>
                  </w: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8月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9月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10月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26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商品符合合同要求 合格率≥98%</w:t>
                  </w: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≥98%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26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客户投诉及时处理率100%</w:t>
                  </w: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26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固体弃物有效处置率100％</w:t>
                  </w: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26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杜绝火灾事故</w:t>
                  </w: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26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杜绝本公司因车辆造成的重大交通事故</w:t>
                  </w: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26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采购产品到货及时率≥99%</w:t>
                  </w: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≥99％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26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固体弃物有效处置率100％</w:t>
                  </w: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100%</w:t>
                  </w:r>
                </w:p>
              </w:tc>
            </w:tr>
          </w:tbl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2019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.5-11月</w:t>
            </w:r>
            <w:r>
              <w:rPr>
                <w:rFonts w:hint="eastAsia" w:ascii="宋体" w:hAnsi="宋体" w:cs="Arial"/>
                <w:szCs w:val="21"/>
              </w:rPr>
              <w:t>考核情况：经查已完成。</w:t>
            </w:r>
          </w:p>
        </w:tc>
        <w:tc>
          <w:tcPr>
            <w:tcW w:w="1439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150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 w:cs="楷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439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150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编制并实施了环境控制程序和管理制度。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bookmarkStart w:id="0" w:name="审核范围"/>
            <w:r>
              <w:rPr>
                <w:sz w:val="20"/>
              </w:rPr>
              <w:t>教学家具、办公家具、酒店家具</w:t>
            </w:r>
            <w:r>
              <w:rPr>
                <w:rFonts w:ascii="宋体" w:hAnsi="宋体"/>
                <w:b w:val="0"/>
                <w:bCs/>
                <w:color w:val="000000" w:themeColor="text1"/>
                <w:sz w:val="21"/>
                <w:szCs w:val="21"/>
              </w:rPr>
              <w:t>。</w:t>
            </w:r>
            <w:bookmarkEnd w:id="0"/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楷体"/>
                <w:szCs w:val="21"/>
              </w:rPr>
              <w:t>统一处理，部门不单独处理。</w:t>
            </w:r>
          </w:p>
          <w:p>
            <w:pPr>
              <w:snapToGrid w:val="0"/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办公室和仓库内主要是电的使用，电器有漏电保护器，经常对电路、电源进行检查，没有露电现象发生，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5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6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对外招投标和业务洽谈时明确承诺公司产品环保、无毒无害。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7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公司通过各部门申报采购计划批准后进行采购，流程是申报计划→评审→总经理批准→签订合同→采购。</w:t>
            </w:r>
          </w:p>
          <w:p>
            <w:pPr>
              <w:spacing w:line="360" w:lineRule="auto"/>
              <w:rPr>
                <w:rFonts w:hint="eastAsia" w:ascii="宋体" w:hAnsi="宋体" w:cs="楷体"/>
                <w:bCs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8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公司目前采购的主要原材料有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sz w:val="20"/>
              </w:rPr>
              <w:t>教学家具、办公家具、酒店家具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楷体"/>
                <w:bCs/>
                <w:szCs w:val="21"/>
              </w:rPr>
              <w:t>产品全部由厂家提供，均有合格证和使用说明以及检验报告。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hAnsi="宋体" w:eastAsia="宋体" w:cs="楷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bCs/>
                <w:szCs w:val="21"/>
                <w:lang w:val="en-US" w:eastAsia="zh-CN"/>
              </w:rPr>
              <w:t>提供了5家合格供应商名录：佛山市百家达家具有限公司、佛山市顺德区标力家具有限公司、广东鸿业家具制造有限公司、天工工艺、佛山市图龙家具有限公司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9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2019.5.10业务</w:t>
            </w:r>
            <w:r>
              <w:rPr>
                <w:rFonts w:hint="eastAsia" w:ascii="宋体" w:hAnsi="宋体" w:cs="楷体"/>
                <w:szCs w:val="21"/>
              </w:rPr>
              <w:t>部向供应商发放《相关方告之书》，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告之书</w:t>
            </w:r>
            <w:r>
              <w:rPr>
                <w:rFonts w:hint="eastAsia" w:ascii="宋体" w:hAnsi="宋体" w:cs="楷体"/>
                <w:szCs w:val="21"/>
              </w:rPr>
              <w:t>的内容中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楷体"/>
                <w:szCs w:val="21"/>
              </w:rPr>
              <w:t>包括本公司采购产品的理化性能造成的环境影响或可能造成的影响，对使用该种物料的员工的要求，供应商在运输这些物料所使用的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包装</w:t>
            </w:r>
            <w:bookmarkStart w:id="1" w:name="_GoBack"/>
            <w:bookmarkEnd w:id="1"/>
            <w:r>
              <w:rPr>
                <w:rFonts w:hint="eastAsia" w:ascii="宋体" w:hAnsi="宋体" w:cs="楷体"/>
                <w:szCs w:val="21"/>
              </w:rPr>
              <w:t>、运输方式对环境和职业健康的影响，到本公司减速慢行、运输路上每</w:t>
            </w:r>
            <w:r>
              <w:rPr>
                <w:rFonts w:ascii="宋体" w:hAnsi="宋体" w:cs="楷体"/>
                <w:szCs w:val="21"/>
              </w:rPr>
              <w:t>4</w:t>
            </w:r>
            <w:r>
              <w:rPr>
                <w:rFonts w:hint="eastAsia" w:ascii="宋体" w:hAnsi="宋体" w:cs="楷体"/>
                <w:szCs w:val="21"/>
              </w:rPr>
              <w:t>个小时休息</w:t>
            </w:r>
            <w:r>
              <w:rPr>
                <w:rFonts w:ascii="宋体" w:hAnsi="宋体" w:cs="楷体"/>
                <w:szCs w:val="21"/>
              </w:rPr>
              <w:t>1</w:t>
            </w:r>
            <w:r>
              <w:rPr>
                <w:rFonts w:hint="eastAsia" w:ascii="宋体" w:hAnsi="宋体" w:cs="楷体"/>
                <w:szCs w:val="21"/>
              </w:rPr>
              <w:t>次等。</w:t>
            </w:r>
          </w:p>
          <w:p>
            <w:pPr>
              <w:spacing w:line="360" w:lineRule="auto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10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对供应商施加影响还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楷体"/>
                <w:szCs w:val="21"/>
              </w:rPr>
              <w:t>包括在评定供应商时，获取质量、环境、职业健康安全管理体系证书则优先，产品必须用环保无毒无害材料、无尖角毛刺等措施。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439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8.2</w:t>
            </w:r>
          </w:p>
        </w:tc>
        <w:tc>
          <w:tcPr>
            <w:tcW w:w="10150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参加了由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楷体"/>
                <w:szCs w:val="21"/>
              </w:rPr>
              <w:t>组织的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szCs w:val="21"/>
              </w:rPr>
              <w:t>应急救援演练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现场巡视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原材料和</w:t>
            </w:r>
            <w:r>
              <w:rPr>
                <w:rFonts w:hint="eastAsia" w:ascii="宋体" w:hAnsi="宋体" w:cs="楷体"/>
                <w:szCs w:val="21"/>
              </w:rPr>
              <w:t>产品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仓库，均</w:t>
            </w:r>
            <w:r>
              <w:rPr>
                <w:rFonts w:hint="eastAsia" w:ascii="宋体" w:hAnsi="宋体" w:cs="楷体"/>
                <w:szCs w:val="21"/>
              </w:rPr>
              <w:t>按规格堆放，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并贴有标识，符合要求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439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eastAsia"/>
      </w:rPr>
      <w:t>北京国标联合认证有限公司</w:t>
    </w:r>
    <w:r>
      <w:rPr>
        <w:rStyle w:val="11"/>
      </w:rPr>
      <w:tab/>
    </w:r>
    <w:r>
      <w:rPr>
        <w:rStyle w:val="11"/>
      </w:rPr>
      <w:tab/>
    </w:r>
    <w:r>
      <w:rPr>
        <w:rStyle w:val="11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1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6EF4"/>
    <w:multiLevelType w:val="multilevel"/>
    <w:tmpl w:val="55F56EF4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0" w:hanging="420"/>
      </w:pPr>
    </w:lvl>
  </w:abstractNum>
  <w:abstractNum w:abstractNumId="1">
    <w:nsid w:val="5CB26811"/>
    <w:multiLevelType w:val="multilevel"/>
    <w:tmpl w:val="5CB26811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2264200"/>
    <w:rsid w:val="108219C2"/>
    <w:rsid w:val="13DF1F78"/>
    <w:rsid w:val="18EF637B"/>
    <w:rsid w:val="2A943661"/>
    <w:rsid w:val="39F52ADD"/>
    <w:rsid w:val="4EC17F0A"/>
    <w:rsid w:val="50F574B7"/>
    <w:rsid w:val="51B3004F"/>
    <w:rsid w:val="573033D2"/>
    <w:rsid w:val="5EA12B9A"/>
    <w:rsid w:val="6A920F4D"/>
    <w:rsid w:val="7AC36EB8"/>
    <w:rsid w:val="7B6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14</TotalTime>
  <ScaleCrop>false</ScaleCrop>
  <LinksUpToDate>false</LinksUpToDate>
  <CharactersWithSpaces>3628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lenovo</cp:lastModifiedBy>
  <dcterms:modified xsi:type="dcterms:W3CDTF">2020-03-21T07:42:04Z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