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0021-2020-E</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福建省闽尚国意家具有限公司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6"/>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审核员</w:t>
            </w:r>
          </w:p>
        </w:tc>
        <w:tc>
          <w:tcPr>
            <w:tcW w:w="2179" w:type="dxa"/>
            <w:gridSpan w:val="2"/>
            <w:vAlign w:val="center"/>
          </w:tcPr>
          <w:p>
            <w:pPr>
              <w:spacing w:line="240" w:lineRule="exact"/>
              <w:jc w:val="center"/>
              <w:rPr>
                <w:b/>
                <w:color w:val="000000"/>
                <w:sz w:val="20"/>
                <w:szCs w:val="20"/>
              </w:rPr>
            </w:pPr>
            <w:r>
              <w:rPr>
                <w:b/>
                <w:color w:val="000000"/>
                <w:sz w:val="20"/>
                <w:szCs w:val="20"/>
              </w:rPr>
              <w:t>29.08.07,29.10.05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环境管理体系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 xml:space="preserve">GB/28001-2011 </w:t>
      </w:r>
      <w:r>
        <w:rPr>
          <w:rFonts w:hint="eastAsia" w:ascii="宋体" w:hAnsi="宋体"/>
          <w:b/>
          <w:color w:val="000000"/>
          <w:sz w:val="20"/>
          <w:szCs w:val="20"/>
          <w:lang w:eastAsia="zh-CN"/>
        </w:rPr>
        <w:t>☑</w:t>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lang w:eastAsia="zh-CN"/>
        </w:rPr>
        <w:t>☑</w:t>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w:t>
      </w:r>
      <w:r>
        <w:rPr>
          <w:rFonts w:hint="eastAsia" w:ascii="宋体" w:hAnsi="宋体"/>
          <w:b/>
          <w:color w:val="000000"/>
          <w:spacing w:val="-10"/>
          <w:sz w:val="20"/>
          <w:szCs w:val="20"/>
          <w:lang w:val="en-US" w:eastAsia="zh-CN"/>
        </w:rPr>
        <w:t>A0</w:t>
      </w:r>
      <w:r>
        <w:rPr>
          <w:rFonts w:hint="eastAsia" w:ascii="宋体" w:hAnsi="宋体"/>
          <w:b/>
          <w:color w:val="000000"/>
          <w:spacing w:val="-10"/>
          <w:sz w:val="20"/>
          <w:szCs w:val="20"/>
        </w:rPr>
        <w:t>版。□合同要求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6"/>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福建省闽尚国意家具有限公司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福建省泉州市丰泽区北峰街道潘山田厝山工业区第一栋三楼</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362008</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福建省泉州市丰泽区北峰街道潘山田厝山工业区第一栋三楼</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362008</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连建忠</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13850700892</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段先高</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连建忠</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2019.5.10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教学家具、办公家具、酒店家具的销售及其所涉及场所的相关环境管理活动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29.08.07;29.10.05</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p>
    <w:p>
      <w:pPr>
        <w:spacing w:line="300" w:lineRule="auto"/>
        <w:ind w:firstLine="269" w:firstLineChars="134"/>
        <w:rPr>
          <w:rFonts w:ascii="宋体"/>
          <w:b/>
          <w:color w:val="000000"/>
          <w:sz w:val="20"/>
          <w:szCs w:val="20"/>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ascii="宋体" w:hAnsi="宋体"/>
          <w:b/>
          <w:color w:val="000000"/>
          <w:sz w:val="20"/>
          <w:szCs w:val="20"/>
          <w:lang w:val="en-US" w:eastAsia="zh-CN"/>
        </w:rPr>
        <w:t>管理层、行政部、业务部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color w:val="000000"/>
          <w:sz w:val="20"/>
          <w:szCs w:val="20"/>
          <w:lang w:val="en-US" w:eastAsia="zh-CN"/>
        </w:rPr>
        <w:t>办公场所、仓库</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156" w:beforeLines="50" w:after="156"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6"/>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a)-c)</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40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40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40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40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0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环境</w:t>
            </w:r>
          </w:p>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6"/>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p>
          <w:p>
            <w:pPr>
              <w:tabs>
                <w:tab w:val="left" w:pos="360"/>
              </w:tabs>
              <w:ind w:left="360" w:hanging="360"/>
              <w:rPr>
                <w:rFonts w:ascii="宋体"/>
                <w:b/>
                <w:color w:val="000000"/>
                <w:sz w:val="20"/>
                <w:szCs w:val="20"/>
              </w:rPr>
            </w:pPr>
            <w:r>
              <w:rPr>
                <w:rFonts w:hint="eastAsia" w:ascii="宋体" w:hAnsi="宋体"/>
                <w:b/>
                <w:color w:val="000000"/>
                <w:sz w:val="20"/>
                <w:szCs w:val="20"/>
              </w:rPr>
              <w:t>服务：</w:t>
            </w:r>
            <w:r>
              <w:t>教学家具、办公家具、酒店家具的销售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公司部门设置：</w:t>
            </w:r>
            <w:r>
              <w:rPr>
                <w:rFonts w:hint="eastAsia" w:ascii="宋体" w:hAnsi="宋体"/>
                <w:b/>
                <w:color w:val="000000"/>
                <w:sz w:val="20"/>
                <w:szCs w:val="20"/>
                <w:lang w:val="en-US" w:eastAsia="zh-CN"/>
              </w:rPr>
              <w:t>管理层、行政部、业务部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管理体系推进部门：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质量管理部门：</w:t>
            </w:r>
          </w:p>
          <w:p>
            <w:pPr>
              <w:tabs>
                <w:tab w:val="left" w:pos="360"/>
              </w:tabs>
              <w:spacing w:before="156" w:beforeLines="50"/>
              <w:ind w:left="357" w:hanging="357"/>
              <w:rPr>
                <w:rFonts w:hint="default" w:ascii="宋体" w:eastAsia="宋体"/>
                <w:b/>
                <w:color w:val="000000"/>
                <w:sz w:val="20"/>
                <w:szCs w:val="20"/>
                <w:lang w:val="en-US" w:eastAsia="zh-CN"/>
              </w:rPr>
            </w:pPr>
            <w:r>
              <w:rPr>
                <w:rFonts w:hint="eastAsia" w:ascii="宋体" w:hAnsi="宋体"/>
                <w:b/>
                <w:color w:val="000000"/>
                <w:sz w:val="20"/>
                <w:szCs w:val="20"/>
              </w:rPr>
              <w:t>环境管理主管部门：</w:t>
            </w:r>
            <w:r>
              <w:rPr>
                <w:rFonts w:hint="eastAsia" w:ascii="宋体" w:hAnsi="宋体"/>
                <w:b/>
                <w:color w:val="000000"/>
                <w:sz w:val="20"/>
                <w:szCs w:val="20"/>
                <w:lang w:val="en-US" w:eastAsia="zh-CN"/>
              </w:rPr>
              <w:t>行政部</w:t>
            </w:r>
          </w:p>
          <w:p>
            <w:pPr>
              <w:tabs>
                <w:tab w:val="left" w:pos="360"/>
              </w:tabs>
              <w:spacing w:before="156" w:beforeLines="50"/>
              <w:ind w:left="357" w:hanging="357"/>
              <w:rPr>
                <w:rFonts w:ascii="宋体"/>
                <w:b/>
                <w:color w:val="000000"/>
                <w:sz w:val="20"/>
                <w:szCs w:val="20"/>
              </w:rPr>
            </w:pPr>
            <w:r>
              <w:rPr>
                <w:rFonts w:hint="eastAsia" w:ascii="宋体" w:hAnsi="宋体"/>
                <w:b/>
                <w:color w:val="000000"/>
                <w:sz w:val="20"/>
                <w:szCs w:val="20"/>
              </w:rPr>
              <w:t>职业健康安全主管部门：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hint="eastAsia" w:ascii="宋体" w:eastAsia="宋体"/>
                <w:color w:val="000000"/>
                <w:sz w:val="20"/>
                <w:szCs w:val="20"/>
                <w:lang w:val="en-US" w:eastAsia="zh-CN"/>
              </w:rPr>
            </w:pPr>
            <w:r>
              <w:rPr>
                <w:rFonts w:hint="eastAsia" w:ascii="宋体"/>
                <w:color w:val="000000"/>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福建省泉州市丰泽区北峰街道潘山田厝山工业区第一栋三楼</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color w:val="000000"/>
                <w:spacing w:val="-10"/>
                <w:sz w:val="20"/>
                <w:szCs w:val="20"/>
              </w:rPr>
              <w:t>□</w:t>
            </w:r>
            <w:r>
              <w:rPr>
                <w:rFonts w:hint="eastAsia" w:ascii="宋体" w:hAnsi="宋体"/>
                <w:color w:val="000000"/>
                <w:sz w:val="20"/>
                <w:szCs w:val="20"/>
              </w:rPr>
              <w:t>自建办公用房</w:t>
            </w:r>
            <w:r>
              <w:rPr>
                <w:rFonts w:hint="eastAsia" w:ascii="宋体" w:hAnsi="宋体"/>
                <w:color w:val="000000"/>
                <w:spacing w:val="-10"/>
                <w:sz w:val="20"/>
                <w:szCs w:val="20"/>
              </w:rPr>
              <w:t>□</w:t>
            </w:r>
            <w:r>
              <w:rPr>
                <w:rFonts w:hint="eastAsia" w:ascii="宋体" w:hAnsi="宋体"/>
                <w:color w:val="000000"/>
                <w:sz w:val="20"/>
                <w:szCs w:val="20"/>
              </w:rPr>
              <w:t>自建厂房</w:t>
            </w:r>
            <w:r>
              <w:rPr>
                <w:rFonts w:hint="eastAsia" w:ascii="宋体" w:hAnsi="宋体"/>
                <w:color w:val="000000"/>
                <w:spacing w:val="-10"/>
                <w:sz w:val="20"/>
                <w:szCs w:val="20"/>
                <w:lang w:eastAsia="zh-CN"/>
              </w:rPr>
              <w:t>☑</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z w:val="20"/>
                <w:szCs w:val="20"/>
                <w:lang w:eastAsia="zh-CN"/>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color w:val="000000"/>
                <w:sz w:val="20"/>
                <w:szCs w:val="20"/>
                <w:lang w:eastAsia="zh-CN"/>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156"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color w:val="000000"/>
                <w:spacing w:val="-10"/>
                <w:sz w:val="20"/>
                <w:szCs w:val="20"/>
                <w:lang w:eastAsia="zh-CN"/>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color w:val="000000"/>
                <w:spacing w:val="-10"/>
                <w:sz w:val="20"/>
                <w:szCs w:val="20"/>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□产品技术标准号：□合同：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lang w:eastAsia="zh-CN"/>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sz w:val="20"/>
                <w:szCs w:val="20"/>
              </w:rPr>
            </w:pPr>
            <w:r>
              <w:rPr>
                <w:rFonts w:hint="eastAsia" w:ascii="宋体"/>
                <w:color w:val="000000"/>
                <w:sz w:val="20"/>
                <w:szCs w:val="20"/>
              </w:rPr>
              <w:t>环境执行标准：</w:t>
            </w:r>
            <w:r>
              <w:rPr>
                <w:rFonts w:hint="eastAsia" w:ascii="宋体" w:hAnsi="宋体"/>
                <w:sz w:val="20"/>
                <w:szCs w:val="20"/>
              </w:rPr>
              <w:t>环境空气质量标准</w:t>
            </w:r>
          </w:p>
          <w:p>
            <w:pPr>
              <w:rPr>
                <w:rFonts w:ascii="宋体"/>
                <w:sz w:val="20"/>
                <w:szCs w:val="20"/>
              </w:rPr>
            </w:pPr>
            <w:r>
              <w:rPr>
                <w:rFonts w:hint="eastAsia" w:ascii="宋体" w:hAnsi="宋体"/>
                <w:sz w:val="20"/>
                <w:szCs w:val="20"/>
              </w:rPr>
              <w:t>大气污染物综合排放标准</w:t>
            </w:r>
          </w:p>
          <w:p>
            <w:pPr>
              <w:rPr>
                <w:rFonts w:ascii="宋体"/>
                <w:sz w:val="20"/>
                <w:szCs w:val="20"/>
              </w:rPr>
            </w:pPr>
            <w:r>
              <w:rPr>
                <w:rFonts w:hint="eastAsia" w:ascii="宋体" w:hAnsi="宋体"/>
                <w:sz w:val="20"/>
                <w:szCs w:val="20"/>
              </w:rPr>
              <w:t>生活饮用水卫生标准</w:t>
            </w:r>
          </w:p>
          <w:p>
            <w:pPr>
              <w:rPr>
                <w:rFonts w:ascii="宋体"/>
                <w:sz w:val="20"/>
                <w:szCs w:val="20"/>
              </w:rPr>
            </w:pPr>
            <w:r>
              <w:rPr>
                <w:rFonts w:hint="eastAsia" w:ascii="宋体" w:hAnsi="宋体"/>
                <w:sz w:val="20"/>
                <w:szCs w:val="20"/>
              </w:rPr>
              <w:t>地表水环境质量标准</w:t>
            </w:r>
          </w:p>
          <w:p>
            <w:pPr>
              <w:rPr>
                <w:rFonts w:ascii="宋体"/>
                <w:sz w:val="20"/>
                <w:szCs w:val="20"/>
              </w:rPr>
            </w:pPr>
            <w:r>
              <w:rPr>
                <w:rFonts w:hint="eastAsia" w:ascii="宋体" w:hAnsi="宋体"/>
                <w:sz w:val="20"/>
                <w:szCs w:val="20"/>
              </w:rPr>
              <w:t>污水综合排放标准</w:t>
            </w:r>
          </w:p>
          <w:p>
            <w:pPr>
              <w:rPr>
                <w:rFonts w:hint="default" w:ascii="宋体" w:eastAsia="宋体"/>
                <w:color w:val="000000"/>
                <w:sz w:val="20"/>
                <w:szCs w:val="20"/>
                <w:lang w:val="en-US" w:eastAsia="zh-CN"/>
              </w:rPr>
            </w:pPr>
            <w:r>
              <w:rPr>
                <w:rFonts w:hint="eastAsia" w:ascii="宋体" w:hAnsi="宋体"/>
                <w:sz w:val="20"/>
                <w:szCs w:val="20"/>
              </w:rPr>
              <w:t>城镇环境卫生设施设置标准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lang w:eastAsia="zh-CN"/>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color w:val="000000"/>
                <w:spacing w:val="-10"/>
                <w:sz w:val="20"/>
                <w:szCs w:val="20"/>
                <w:lang w:eastAsia="zh-CN"/>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156"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6"/>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外包过程有：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z w:val="20"/>
                <w:szCs w:val="20"/>
              </w:rPr>
              <w:t>是否明确了外包过程的控制方法：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pacing w:val="-10"/>
                <w:sz w:val="20"/>
                <w:szCs w:val="20"/>
              </w:rPr>
              <w:t>主要设备：</w:t>
            </w:r>
            <w:r>
              <w:rPr>
                <w:rFonts w:hint="eastAsia" w:ascii="宋体" w:hAnsi="宋体"/>
                <w:color w:val="000000"/>
                <w:spacing w:val="-10"/>
                <w:sz w:val="20"/>
                <w:szCs w:val="20"/>
                <w:lang w:val="en-US" w:eastAsia="zh-CN"/>
              </w:rPr>
              <w:t>办公设备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重要环境因素有：</w:t>
            </w:r>
            <w:r>
              <w:rPr>
                <w:rFonts w:hint="eastAsia" w:ascii="宋体"/>
                <w:color w:val="000000"/>
                <w:sz w:val="20"/>
                <w:szCs w:val="20"/>
                <w:lang w:val="en-US" w:eastAsia="zh-CN"/>
              </w:rPr>
              <w:t>固废的排放、能源的消耗、潜在的火灾、爆炸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针对重要环境因素建立了运行控制程序：</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hint="eastAsia" w:ascii="宋体" w:eastAsia="宋体"/>
                <w:color w:val="000000"/>
                <w:sz w:val="20"/>
                <w:szCs w:val="20"/>
                <w:lang w:val="en-US" w:eastAsia="zh-CN"/>
              </w:rPr>
            </w:pPr>
            <w:r>
              <w:rPr>
                <w:rFonts w:hint="eastAsia" w:ascii="宋体"/>
                <w:color w:val="000000"/>
                <w:sz w:val="20"/>
                <w:szCs w:val="20"/>
              </w:rPr>
              <w:t>针对重要环境因素是否明确了监视和测量的要求：</w:t>
            </w:r>
            <w:r>
              <w:rPr>
                <w:rFonts w:hint="eastAsia" w:ascii="宋体"/>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color w:val="000000"/>
                <w:sz w:val="20"/>
                <w:szCs w:val="20"/>
                <w:lang w:eastAsia="zh-CN"/>
              </w:rPr>
              <w:t>☑</w:t>
            </w:r>
            <w:r>
              <w:rPr>
                <w:rFonts w:hint="eastAsia" w:ascii="宋体"/>
                <w:color w:val="000000"/>
                <w:sz w:val="20"/>
                <w:szCs w:val="20"/>
              </w:rPr>
              <w:t>是□否，识别是否充分</w:t>
            </w:r>
            <w:r>
              <w:rPr>
                <w:rFonts w:hint="eastAsia" w:ascii="宋体"/>
                <w:color w:val="000000"/>
                <w:sz w:val="20"/>
                <w:szCs w:val="20"/>
                <w:lang w:eastAsia="zh-CN"/>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color w:val="000000"/>
                <w:sz w:val="20"/>
                <w:szCs w:val="20"/>
                <w:lang w:eastAsia="zh-CN"/>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color w:val="000000"/>
                <w:sz w:val="20"/>
                <w:szCs w:val="20"/>
                <w:lang w:eastAsia="zh-CN"/>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hint="default" w:ascii="宋体" w:eastAsia="宋体"/>
                <w:color w:val="000000"/>
                <w:sz w:val="20"/>
                <w:szCs w:val="20"/>
                <w:lang w:val="en-US" w:eastAsia="zh-CN"/>
              </w:rPr>
            </w:pPr>
            <w:r>
              <w:rPr>
                <w:rFonts w:hint="eastAsia" w:ascii="宋体"/>
                <w:color w:val="000000"/>
                <w:sz w:val="20"/>
                <w:szCs w:val="20"/>
              </w:rPr>
              <w:t>应急预案有：</w:t>
            </w:r>
            <w:r>
              <w:rPr>
                <w:rFonts w:hint="eastAsia" w:ascii="宋体"/>
                <w:color w:val="000000"/>
                <w:sz w:val="20"/>
                <w:szCs w:val="20"/>
                <w:lang w:val="en-US" w:eastAsia="zh-CN"/>
              </w:rPr>
              <w:t>触电事故、火灾爆炸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是否识别了潜在的紧急情况□是□否，识别是否充分□充分□需完善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是否针对每一种潜在紧急情况建立了应急响应预案是否充分□是□否□充分□需完善</w:t>
            </w:r>
          </w:p>
        </w:tc>
      </w:tr>
    </w:tbl>
    <w:p>
      <w:pPr>
        <w:spacing w:before="156" w:beforeLines="50" w:after="62"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000000"/>
                <w:sz w:val="20"/>
                <w:szCs w:val="20"/>
                <w:lang w:val="en-US" w:eastAsia="zh-CN"/>
              </w:rPr>
              <w:t>8</w:t>
            </w:r>
            <w:r>
              <w:rPr>
                <w:rFonts w:hint="eastAsia" w:ascii="宋体"/>
                <w:color w:val="000000"/>
                <w:sz w:val="20"/>
                <w:szCs w:val="20"/>
              </w:rPr>
              <w:t>人，其中管理人员：</w:t>
            </w:r>
            <w:r>
              <w:rPr>
                <w:rFonts w:hint="eastAsia" w:ascii="宋体"/>
                <w:color w:val="000000"/>
                <w:sz w:val="20"/>
                <w:szCs w:val="20"/>
                <w:lang w:val="en-US" w:eastAsia="zh-CN"/>
              </w:rPr>
              <w:t>8</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lang w:eastAsia="zh-CN"/>
              </w:rPr>
              <w:t>☑</w:t>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bl>
    <w:p>
      <w:pPr>
        <w:spacing w:before="156" w:beforeLines="50" w:line="360" w:lineRule="exact"/>
        <w:ind w:left="522"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360" w:lineRule="auto"/>
              <w:rPr>
                <w:rFonts w:ascii="宋体"/>
                <w:b/>
                <w:color w:val="000000"/>
                <w:sz w:val="20"/>
                <w:szCs w:val="20"/>
              </w:rPr>
            </w:pPr>
            <w:r>
              <w:rPr>
                <w:rFonts w:hint="eastAsia" w:ascii="宋体" w:hAnsi="宋体"/>
                <w:b/>
                <w:color w:val="000000"/>
                <w:sz w:val="20"/>
                <w:szCs w:val="20"/>
              </w:rPr>
              <w:t>重点审核过程：</w:t>
            </w:r>
          </w:p>
          <w:p>
            <w:pPr>
              <w:spacing w:line="360" w:lineRule="auto"/>
              <w:rPr>
                <w:rFonts w:ascii="宋体"/>
                <w:b/>
                <w:color w:val="000000"/>
                <w:sz w:val="20"/>
                <w:szCs w:val="20"/>
              </w:rPr>
            </w:pPr>
            <w:r>
              <w:rPr>
                <w:rFonts w:hint="eastAsia" w:ascii="宋体" w:hAnsi="宋体"/>
                <w:b/>
                <w:color w:val="000000"/>
                <w:sz w:val="20"/>
                <w:szCs w:val="20"/>
              </w:rPr>
              <w:t>重点审核场所：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w:t>
            </w:r>
            <w:r>
              <w:rPr>
                <w:rFonts w:hint="eastAsia" w:ascii="宋体" w:hAnsi="宋体"/>
                <w:b/>
                <w:color w:val="000000"/>
                <w:sz w:val="20"/>
                <w:szCs w:val="20"/>
                <w:lang w:val="en-US" w:eastAsia="zh-CN"/>
              </w:rPr>
              <w:t>行政部、业务部</w:t>
            </w:r>
          </w:p>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仓库</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w:t>
            </w:r>
          </w:p>
          <w:p>
            <w:pPr>
              <w:spacing w:line="260" w:lineRule="exact"/>
              <w:rPr>
                <w:rFonts w:ascii="宋体"/>
                <w:b/>
                <w:color w:val="000000"/>
                <w:sz w:val="20"/>
                <w:szCs w:val="20"/>
              </w:rPr>
            </w:pPr>
            <w:r>
              <w:rPr>
                <w:rFonts w:hint="eastAsia" w:ascii="宋体" w:hAnsi="宋体"/>
                <w:b/>
                <w:color w:val="000000"/>
                <w:sz w:val="20"/>
                <w:szCs w:val="20"/>
              </w:rPr>
              <w:t>重点审核场所：</w:t>
            </w:r>
          </w:p>
          <w:p>
            <w:pPr>
              <w:spacing w:line="260" w:lineRule="exact"/>
              <w:rPr>
                <w:rFonts w:ascii="宋体"/>
                <w:b/>
                <w:color w:val="000000"/>
                <w:sz w:val="20"/>
                <w:szCs w:val="20"/>
              </w:rPr>
            </w:pP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ascii="宋体" w:hAnsi="宋体"/>
                <w:color w:val="000000"/>
                <w:sz w:val="20"/>
                <w:szCs w:val="20"/>
              </w:rPr>
              <w:t>公司于2019.</w:t>
            </w:r>
            <w:r>
              <w:rPr>
                <w:rFonts w:hint="eastAsia" w:ascii="宋体" w:hAnsi="宋体"/>
                <w:color w:val="000000"/>
                <w:sz w:val="20"/>
                <w:szCs w:val="20"/>
                <w:lang w:val="en-US" w:eastAsia="zh-CN"/>
              </w:rPr>
              <w:t>8.20</w:t>
            </w:r>
            <w:r>
              <w:rPr>
                <w:rFonts w:hint="eastAsia" w:ascii="宋体" w:hAnsi="宋体"/>
                <w:color w:val="000000"/>
                <w:sz w:val="20"/>
                <w:szCs w:val="20"/>
              </w:rPr>
              <w:t>日进行一次内审，提供了内审计划、内审记录、不符合报告、内审报告等，发现了一个不符合，</w:t>
            </w:r>
            <w:r>
              <w:rPr>
                <w:rFonts w:hint="eastAsia"/>
                <w:szCs w:val="21"/>
              </w:rPr>
              <w:t>具体内容见审核记录</w:t>
            </w:r>
            <w:r>
              <w:rPr>
                <w:rFonts w:hint="eastAsia" w:ascii="宋体" w:hAnsi="宋体"/>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lang w:val="en-US" w:eastAsia="zh-CN"/>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cs="宋体"/>
                <w:szCs w:val="21"/>
              </w:rPr>
              <w:t>基本符合计划安排和标准的要求，并得到了较有效实施和保持，仍需进一步改进。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szCs w:val="21"/>
              </w:rPr>
              <w:t>2019.</w:t>
            </w:r>
            <w:r>
              <w:rPr>
                <w:rFonts w:hint="eastAsia"/>
                <w:szCs w:val="21"/>
                <w:lang w:val="en-US" w:eastAsia="zh-CN"/>
              </w:rPr>
              <w:t>9.25</w:t>
            </w:r>
            <w:r>
              <w:rPr>
                <w:rFonts w:hint="eastAsia"/>
                <w:szCs w:val="21"/>
              </w:rPr>
              <w:t>日召开了管理评审会议，由总经理主持，提供了管理评审报告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hint="eastAsia" w:ascii="宋体" w:eastAsia="宋体"/>
                <w:b/>
                <w:color w:val="000000"/>
                <w:sz w:val="20"/>
                <w:szCs w:val="20"/>
                <w:lang w:val="en-US" w:eastAsia="zh-CN"/>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lang w:val="en-US" w:eastAsia="zh-CN"/>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ascii="宋体" w:hAnsi="宋体" w:cs="宋体"/>
                <w:szCs w:val="21"/>
              </w:rPr>
              <w:t>公司各部门基本按照管理体系标准要求实施已初步取得良好的效果。公司方针、目标及管理方案、管理体系文件、环境控制等符合公司目前发展状况，所配备的各类资源基本满足管理体系要求。公司环境管理体系基本是充分、有效和适宜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497" w:type="dxa"/>
            <w:gridSpan w:val="2"/>
          </w:tcPr>
          <w:p>
            <w:pPr>
              <w:widowControl/>
              <w:jc w:val="left"/>
              <w:rPr>
                <w:rFonts w:hint="eastAsia" w:ascii="宋体" w:eastAsia="宋体"/>
                <w:b/>
                <w:color w:val="000000"/>
                <w:sz w:val="20"/>
                <w:szCs w:val="20"/>
                <w:lang w:val="en-US" w:eastAsia="zh-CN"/>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lang w:val="en-US" w:eastAsia="zh-CN"/>
              </w:rPr>
              <w:t>是</w:t>
            </w:r>
          </w:p>
          <w:p>
            <w:pPr>
              <w:widowControl/>
              <w:jc w:val="left"/>
              <w:rPr>
                <w:rFonts w:ascii="宋体"/>
                <w:b/>
                <w:color w:val="000000"/>
                <w:szCs w:val="21"/>
              </w:rPr>
            </w:pPr>
            <w:bookmarkStart w:id="24" w:name="_GoBack"/>
            <w:bookmarkEnd w:id="24"/>
          </w:p>
        </w:tc>
      </w:tr>
    </w:tbl>
    <w:p>
      <w:pPr>
        <w:spacing w:before="156"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6"/>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01"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pacing w:val="-10"/>
                <w:sz w:val="20"/>
                <w:szCs w:val="20"/>
                <w:lang w:val="de-DE"/>
              </w:rPr>
              <w:t>□</w:t>
            </w:r>
            <w:r>
              <w:rPr>
                <w:rFonts w:ascii="宋体" w:hAnsi="宋体"/>
                <w:b/>
                <w:color w:val="000000"/>
                <w:sz w:val="20"/>
                <w:szCs w:val="20"/>
              </w:rPr>
              <w:t>QMS /</w:t>
            </w:r>
            <w:r>
              <w:rPr>
                <w:rFonts w:hint="eastAsia" w:ascii="宋体" w:hAnsi="宋体"/>
                <w:b/>
                <w:color w:val="000000"/>
                <w:spacing w:val="-10"/>
                <w:sz w:val="20"/>
                <w:szCs w:val="20"/>
                <w:lang w:val="de-DE"/>
              </w:rPr>
              <w:t>□</w:t>
            </w:r>
            <w:r>
              <w:rPr>
                <w:rFonts w:ascii="宋体" w:hAnsi="宋体"/>
                <w:b/>
                <w:color w:val="000000"/>
                <w:sz w:val="20"/>
                <w:szCs w:val="20"/>
              </w:rPr>
              <w:t>EMS/</w:t>
            </w:r>
            <w:r>
              <w:rPr>
                <w:rFonts w:hint="eastAsia" w:ascii="宋体" w:hAnsi="宋体"/>
                <w:b/>
                <w:color w:val="000000"/>
                <w:spacing w:val="-1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pacing w:val="-10"/>
                <w:sz w:val="20"/>
                <w:szCs w:val="20"/>
                <w:lang w:eastAsia="zh-CN"/>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156"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w:t>
      </w:r>
      <w:r>
        <w:t>教学家具、办公家具、酒店家具的销售及其所涉及场所的相关环境管理活动</w:t>
      </w:r>
    </w:p>
    <w:p>
      <w:pPr>
        <w:spacing w:line="300" w:lineRule="auto"/>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_____________________________________</w:t>
      </w:r>
      <w:r>
        <w:rPr>
          <w:rFonts w:ascii="宋体" w:hAnsi="宋体"/>
          <w:b/>
          <w:color w:val="000000"/>
          <w:sz w:val="20"/>
          <w:szCs w:val="20"/>
          <w:u w:val="single"/>
        </w:rPr>
        <w:t>___</w:t>
      </w:r>
    </w:p>
    <w:p>
      <w:pPr>
        <w:spacing w:before="156" w:beforeLines="50" w:after="62" w:afterLines="20" w:line="360" w:lineRule="exact"/>
        <w:ind w:firstLine="261" w:firstLineChars="100"/>
        <w:rPr>
          <w:rFonts w:ascii="宋体"/>
          <w:b/>
          <w:bCs/>
          <w:color w:val="000000"/>
          <w:sz w:val="26"/>
          <w:szCs w:val="26"/>
        </w:rPr>
      </w:pP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hint="eastAsia" w:ascii="宋体" w:eastAsia="宋体"/>
          <w:b/>
          <w:color w:val="000000"/>
          <w:lang w:eastAsia="zh-CN"/>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r>
        <w:rPr>
          <w:rFonts w:hint="eastAsia" w:ascii="宋体" w:eastAsia="宋体"/>
          <w:b/>
          <w:color w:val="000000"/>
          <w:lang w:eastAsia="zh-CN"/>
        </w:rPr>
        <w:drawing>
          <wp:anchor distT="0" distB="0" distL="114300" distR="114300" simplePos="0" relativeHeight="251658240" behindDoc="0" locked="0" layoutInCell="1" allowOverlap="1">
            <wp:simplePos x="0" y="0"/>
            <wp:positionH relativeFrom="column">
              <wp:posOffset>1872615</wp:posOffset>
            </wp:positionH>
            <wp:positionV relativeFrom="paragraph">
              <wp:posOffset>-673100</wp:posOffset>
            </wp:positionV>
            <wp:extent cx="1038225" cy="875030"/>
            <wp:effectExtent l="0" t="0" r="3175" b="1270"/>
            <wp:wrapSquare wrapText="bothSides"/>
            <wp:docPr id="1" name="图片 1"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伍光华"/>
                    <pic:cNvPicPr>
                      <a:picLocks noChangeAspect="1"/>
                    </pic:cNvPicPr>
                  </pic:nvPicPr>
                  <pic:blipFill>
                    <a:blip r:embed="rId6"/>
                    <a:stretch>
                      <a:fillRect/>
                    </a:stretch>
                  </pic:blipFill>
                  <pic:spPr>
                    <a:xfrm>
                      <a:off x="0" y="0"/>
                      <a:ext cx="1038225" cy="875030"/>
                    </a:xfrm>
                    <a:prstGeom prst="rect">
                      <a:avLst/>
                    </a:prstGeom>
                  </pic:spPr>
                </pic:pic>
              </a:graphicData>
            </a:graphic>
          </wp:anchor>
        </w:drawing>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2020.3.20</w:t>
      </w:r>
      <w:r>
        <w:rPr>
          <w:rFonts w:ascii="宋体" w:hAnsi="宋体"/>
          <w:b/>
          <w:color w:val="000000"/>
        </w:rPr>
        <w:t xml:space="preserve"> </w:t>
      </w:r>
    </w:p>
    <w:p>
      <w:pPr>
        <w:tabs>
          <w:tab w:val="left" w:pos="645"/>
        </w:tabs>
        <w:spacing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156" w:beforeLines="50" w:after="156"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p>
    <w:tbl>
      <w:tblPr>
        <w:tblStyle w:val="6"/>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sz w:val="24"/>
                <w:szCs w:val="24"/>
              </w:rPr>
            </w:pPr>
          </w:p>
        </w:tc>
        <w:tc>
          <w:tcPr>
            <w:tcW w:w="5681" w:type="dxa"/>
            <w:vAlign w:val="center"/>
          </w:tcPr>
          <w:p>
            <w:pPr>
              <w:pStyle w:val="4"/>
              <w:pBdr>
                <w:bottom w:val="none" w:color="auto" w:sz="0" w:space="0"/>
              </w:pBdr>
              <w:tabs>
                <w:tab w:val="center" w:pos="5737"/>
                <w:tab w:val="clear" w:pos="4153"/>
              </w:tabs>
              <w:jc w:val="both"/>
              <w:rPr>
                <w:color w:val="000000"/>
                <w:sz w:val="24"/>
                <w:szCs w:val="24"/>
              </w:rPr>
            </w:pPr>
          </w:p>
        </w:tc>
        <w:tc>
          <w:tcPr>
            <w:tcW w:w="1688" w:type="dxa"/>
            <w:vAlign w:val="center"/>
          </w:tcPr>
          <w:p>
            <w:pPr>
              <w:pStyle w:val="4"/>
              <w:pBdr>
                <w:bottom w:val="none" w:color="auto" w:sz="0" w:space="0"/>
              </w:pBdr>
              <w:ind w:right="600"/>
              <w:jc w:val="both"/>
              <w:rPr>
                <w:color w:val="000000"/>
                <w:sz w:val="32"/>
                <w:szCs w:val="32"/>
              </w:rPr>
            </w:pPr>
          </w:p>
        </w:tc>
        <w:tc>
          <w:tcPr>
            <w:tcW w:w="1811" w:type="dxa"/>
            <w:vAlign w:val="center"/>
          </w:tcPr>
          <w:p>
            <w:pPr>
              <w:pStyle w:val="4"/>
              <w:pBdr>
                <w:bottom w:val="none" w:color="auto" w:sz="0" w:space="0"/>
              </w:pBdr>
              <w:ind w:right="600"/>
              <w:jc w:val="both"/>
              <w:rPr>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b/>
                <w:color w:val="000000"/>
                <w:sz w:val="22"/>
                <w:szCs w:val="22"/>
              </w:rPr>
            </w:pPr>
            <w:r>
              <w:rPr>
                <w:rFonts w:hint="eastAsia"/>
                <w:b/>
                <w:color w:val="000000"/>
                <w:sz w:val="22"/>
                <w:szCs w:val="22"/>
              </w:rPr>
              <w:t>审核员：</w:t>
            </w:r>
          </w:p>
          <w:p>
            <w:pPr>
              <w:spacing w:line="280" w:lineRule="exact"/>
              <w:rPr>
                <w:b/>
                <w:color w:val="000000"/>
                <w:sz w:val="22"/>
                <w:szCs w:val="22"/>
              </w:rPr>
            </w:pPr>
            <w:r>
              <w:rPr>
                <w:rFonts w:hint="eastAsia"/>
                <w:b/>
                <w:color w:val="000000"/>
                <w:sz w:val="22"/>
                <w:szCs w:val="22"/>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         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b/>
                <w:color w:val="000000"/>
                <w:sz w:val="22"/>
                <w:szCs w:val="22"/>
              </w:rPr>
            </w:pPr>
            <w:r>
              <w:rPr>
                <w:rFonts w:hint="eastAsia"/>
                <w:b/>
                <w:color w:val="000000"/>
                <w:sz w:val="22"/>
                <w:szCs w:val="22"/>
              </w:rPr>
              <w:t>验证人：日期：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3"/>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B5B6508"/>
    <w:rsid w:val="5BA329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semiHidden/>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2"/>
    <w:qFormat/>
    <w:uiPriority w:val="99"/>
    <w:pPr>
      <w:spacing w:before="240" w:after="60" w:line="312" w:lineRule="auto"/>
      <w:jc w:val="center"/>
      <w:outlineLvl w:val="1"/>
    </w:pPr>
    <w:rPr>
      <w:rFonts w:ascii="Cambria" w:hAnsi="Cambria"/>
      <w:b/>
      <w:bCs/>
      <w:kern w:val="28"/>
      <w:sz w:val="32"/>
      <w:szCs w:val="32"/>
    </w:rPr>
  </w:style>
  <w:style w:type="table" w:styleId="7">
    <w:name w:val="Table Grid"/>
    <w:basedOn w:val="6"/>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批注框文本 字符"/>
    <w:link w:val="2"/>
    <w:semiHidden/>
    <w:locked/>
    <w:uiPriority w:val="99"/>
    <w:rPr>
      <w:rFonts w:ascii="Times New Roman" w:hAnsi="Times New Roman" w:eastAsia="宋体" w:cs="Times New Roman"/>
      <w:sz w:val="18"/>
      <w:szCs w:val="18"/>
    </w:rPr>
  </w:style>
  <w:style w:type="character" w:customStyle="1" w:styleId="10">
    <w:name w:val="页脚 字符"/>
    <w:link w:val="3"/>
    <w:locked/>
    <w:uiPriority w:val="99"/>
    <w:rPr>
      <w:rFonts w:ascii="Times New Roman" w:hAnsi="Times New Roman" w:eastAsia="宋体" w:cs="Times New Roman"/>
      <w:sz w:val="18"/>
      <w:szCs w:val="18"/>
    </w:rPr>
  </w:style>
  <w:style w:type="character" w:customStyle="1" w:styleId="11">
    <w:name w:val="页眉 字符"/>
    <w:link w:val="4"/>
    <w:locked/>
    <w:uiPriority w:val="99"/>
    <w:rPr>
      <w:rFonts w:ascii="Calibri" w:hAnsi="Calibri" w:eastAsia="宋体" w:cs="Times New Roman"/>
      <w:sz w:val="18"/>
      <w:szCs w:val="18"/>
    </w:rPr>
  </w:style>
  <w:style w:type="character" w:customStyle="1" w:styleId="12">
    <w:name w:val="副标题 字符"/>
    <w:link w:val="5"/>
    <w:locked/>
    <w:uiPriority w:val="99"/>
    <w:rPr>
      <w:rFonts w:ascii="Cambria" w:hAnsi="Cambria" w:eastAsia="宋体" w:cs="Times New Roman"/>
      <w:b/>
      <w:bCs/>
      <w:kern w:val="28"/>
      <w:sz w:val="32"/>
      <w:szCs w:val="32"/>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9</TotalTime>
  <ScaleCrop>false</ScaleCrop>
  <LinksUpToDate>false</LinksUpToDate>
  <CharactersWithSpaces>6844</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lenovo</cp:lastModifiedBy>
  <dcterms:modified xsi:type="dcterms:W3CDTF">2020-03-23T08:03:43Z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