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青岛茳森工程有限公司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0565-2021-QO-2023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青岛市李沧区瑞金路29-17号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青岛市莱西市姜山镇李三路东规划路南青岛茳森工程有限公司莱西分公司</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李培花</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15066161090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0532-82528605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29</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2023年06月17日 上午至2023年06月18日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Q:1,O:1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31" w:name="_GoBack" w:colFirst="6"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bookmarkEnd w:id="31"/>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Q：许可范围内的防火卷帘门、防火门和挡烟垂壁的研发、生产（分支机构经营）</w:t>
            </w:r>
          </w:p>
          <w:p>
            <w:pPr>
              <w:tabs>
                <w:tab w:val="left" w:pos="0"/>
              </w:tabs>
              <w:jc w:val="left"/>
              <w:rPr>
                <w:sz w:val="21"/>
                <w:szCs w:val="21"/>
              </w:rPr>
            </w:pPr>
            <w:r>
              <w:rPr>
                <w:sz w:val="21"/>
                <w:szCs w:val="21"/>
              </w:rPr>
              <w:t>O：许可范围内的防火卷帘门、防火门和挡烟垂壁的研发、生产（分支机构经营）所涉及场所的相关职业健康安全管理活动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Q：17.06.02</w:t>
            </w:r>
          </w:p>
          <w:p>
            <w:pPr>
              <w:tabs>
                <w:tab w:val="left" w:pos="0"/>
              </w:tabs>
              <w:rPr>
                <w:sz w:val="21"/>
                <w:szCs w:val="21"/>
              </w:rPr>
            </w:pPr>
            <w:r>
              <w:rPr>
                <w:sz w:val="21"/>
                <w:szCs w:val="21"/>
              </w:rPr>
              <w:t>O：17.06.02</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汪桂丽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2021-N1QMS-6043149</w:t>
            </w:r>
          </w:p>
          <w:p>
            <w:pPr>
              <w:ind w:left="117"/>
              <w:jc w:val="center"/>
              <w:rPr>
                <w:sz w:val="21"/>
                <w:szCs w:val="21"/>
              </w:rPr>
            </w:pPr>
            <w:r>
              <w:rPr>
                <w:sz w:val="21"/>
                <w:szCs w:val="21"/>
              </w:rPr>
              <w:t>2020-N1OHSMS-3043149</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13589369698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郭琳</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ISC-JSZJ-684</w:t>
            </w:r>
          </w:p>
          <w:p>
            <w:pPr>
              <w:ind w:left="117"/>
              <w:jc w:val="center"/>
              <w:rPr>
                <w:sz w:val="21"/>
                <w:szCs w:val="21"/>
              </w:rPr>
            </w:pPr>
            <w:r>
              <w:rPr>
                <w:sz w:val="21"/>
                <w:szCs w:val="21"/>
              </w:rPr>
              <w:t>ISC-JSZJ-684</w:t>
            </w:r>
          </w:p>
          <w:p>
            <w:pPr>
              <w:ind w:left="117"/>
              <w:jc w:val="center"/>
              <w:rPr>
                <w:sz w:val="21"/>
                <w:szCs w:val="21"/>
              </w:rPr>
            </w:pPr>
            <w:r>
              <w:rPr>
                <w:sz w:val="21"/>
                <w:szCs w:val="21"/>
              </w:rPr>
              <w:t>青岛浩利海消防安全技术有限公司</w:t>
            </w:r>
          </w:p>
        </w:tc>
        <w:tc>
          <w:tcPr>
            <w:tcW w:w="3684" w:type="dxa"/>
            <w:gridSpan w:val="9"/>
            <w:vAlign w:val="center"/>
          </w:tcPr>
          <w:p>
            <w:pPr>
              <w:jc w:val="center"/>
              <w:rPr>
                <w:sz w:val="21"/>
                <w:szCs w:val="21"/>
              </w:rPr>
            </w:pPr>
            <w:r>
              <w:rPr>
                <w:sz w:val="21"/>
                <w:szCs w:val="21"/>
              </w:rPr>
              <w:t>Q:17.06.02</w:t>
            </w:r>
          </w:p>
          <w:p>
            <w:pPr>
              <w:jc w:val="center"/>
              <w:rPr>
                <w:sz w:val="21"/>
                <w:szCs w:val="21"/>
              </w:rPr>
            </w:pPr>
            <w:r>
              <w:rPr>
                <w:sz w:val="21"/>
                <w:szCs w:val="21"/>
              </w:rPr>
              <w:t>O:17.06.02</w:t>
            </w:r>
          </w:p>
        </w:tc>
        <w:tc>
          <w:tcPr>
            <w:tcW w:w="1560" w:type="dxa"/>
            <w:gridSpan w:val="2"/>
            <w:vAlign w:val="center"/>
          </w:tcPr>
          <w:p>
            <w:pPr>
              <w:jc w:val="center"/>
              <w:rPr>
                <w:sz w:val="21"/>
                <w:szCs w:val="21"/>
              </w:rPr>
            </w:pPr>
            <w:r>
              <w:rPr>
                <w:sz w:val="21"/>
                <w:szCs w:val="21"/>
              </w:rPr>
              <w:t>18661822998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杨森</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2023-06-12</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4223385</wp:posOffset>
              </wp:positionH>
              <wp:positionV relativeFrom="paragraph">
                <wp:posOffset>135890</wp:posOffset>
              </wp:positionV>
              <wp:extent cx="2403475" cy="231140"/>
              <wp:effectExtent l="0" t="0" r="15875" b="16510"/>
              <wp:wrapNone/>
              <wp:docPr id="1" name="文本框 1"/>
              <wp:cNvGraphicFramePr/>
              <a:graphic xmlns:a="http://schemas.openxmlformats.org/drawingml/2006/main">
                <a:graphicData uri="http://schemas.microsoft.com/office/word/2010/wordprocessingShape">
                  <wps:wsp>
                    <wps:cNvSpPr txBox="1"/>
                    <wps:spPr>
                      <a:xfrm>
                        <a:off x="0" y="0"/>
                        <a:ext cx="2403475" cy="231140"/>
                      </a:xfrm>
                      <a:prstGeom prst="rect">
                        <a:avLst/>
                      </a:prstGeom>
                      <a:solidFill>
                        <a:srgbClr val="FFFFFF"/>
                      </a:solidFill>
                      <a:ln>
                        <a:noFill/>
                      </a:ln>
                    </wps:spPr>
                    <wps:txb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wps:txbx>
                    <wps:bodyPr upright="1"/>
                  </wps:wsp>
                </a:graphicData>
              </a:graphic>
            </wp:anchor>
          </w:drawing>
        </mc:Choice>
        <mc:Fallback>
          <w:pict>
            <v:shape id="_x0000_s1026" o:spid="_x0000_s1026" o:spt="202" type="#_x0000_t202" style="position:absolute;left:0pt;margin-left:332.55pt;margin-top:10.7pt;height:18.2pt;width:189.25pt;z-index:251659264;mso-width-relative:page;mso-height-relative:page;" fillcolor="#FFFFFF" filled="t" stroked="f" coordsize="21600,21600" o:gfxdata="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osyA9gAAAAKAQAADwAAAAAAAAABACAAAAAiAAAAZHJzL2Rvd25yZXYu&#10;eG1sUEsBAhQAFAAAAAgAh07iQH4xy3jCAQAAdwMAAA4AAAAAAAAAAQAgAAAAJwEAAGRycy9lMm9E&#10;b2MueG1sUEsFBgAAAAAGAAYAWQEAAFsFAAAAAA==&#10;">
              <v:fill on="t" focussize="0,0"/>
              <v:stroke on="f"/>
              <v:imagedata o:title=""/>
              <o:lock v:ext="edit" aspectratio="f"/>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745948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1249</Words>
  <Characters>1525</Characters>
  <Lines>11</Lines>
  <Paragraphs>3</Paragraphs>
  <TotalTime>0</TotalTime>
  <ScaleCrop>false</ScaleCrop>
  <LinksUpToDate>false</LinksUpToDate>
  <CharactersWithSpaces>1574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三 木</cp:lastModifiedBy>
  <dcterms:modified xsi:type="dcterms:W3CDTF">2023-06-12T06:26:25Z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96B02E33F5F346A1AE0C9001AC6F6D31_13</vt:lpwstr>
  </property>
  <property fmtid="{D5CDD505-2E9C-101B-9397-08002B2CF9AE}" pid="3" name="KSOProductBuildVer">
    <vt:lpwstr>2052-11.1.0.14309</vt:lpwstr>
  </property>
</Properties>
</file>