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Times New Roman" w:hAnsi="Times New Roman" w:cs="Times New Roman"/>
          <w:color w:val="0D0D0D" w:themeColor="text1" w:themeTint="F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color w:val="0D0D0D" w:themeColor="text1" w:themeTint="F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D0D0D" w:themeColor="text1" w:themeTint="F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0042-2020</w:t>
      </w:r>
      <w:r>
        <w:rPr>
          <w:rFonts w:ascii="Times New Roman" w:hAnsi="Times New Roman" w:cs="Times New Roman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</w:p>
    <w:p>
      <w:pPr>
        <w:spacing w:after="240"/>
        <w:jc w:val="center"/>
        <w:rPr>
          <w:rFonts w:ascii="Times New Roman" w:hAnsi="Times New Roman" w:cs="Times New Roman" w:eastAsiaTheme="majorEastAsia"/>
          <w:b/>
          <w:szCs w:val="21"/>
        </w:rPr>
      </w:pPr>
      <w:r>
        <w:rPr>
          <w:rFonts w:ascii="Times New Roman" w:hAnsi="Times New Roman" w:cs="Times New Roman" w:eastAsiaTheme="majorEastAsia"/>
          <w:b/>
          <w:szCs w:val="21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854"/>
        <w:gridCol w:w="567"/>
        <w:gridCol w:w="1258"/>
        <w:gridCol w:w="396"/>
        <w:gridCol w:w="1170"/>
        <w:gridCol w:w="610"/>
        <w:gridCol w:w="1036"/>
        <w:gridCol w:w="40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(参数)名称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介电强度试验承受</w:t>
            </w:r>
            <w:r>
              <w:rPr>
                <w:bCs/>
                <w:szCs w:val="21"/>
              </w:rPr>
              <w:t>电压</w:t>
            </w:r>
            <w:r>
              <w:rPr>
                <w:rFonts w:hint="eastAsia"/>
                <w:bCs/>
                <w:szCs w:val="21"/>
              </w:rPr>
              <w:t>测量过程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质</w:t>
            </w:r>
            <w:r>
              <w:rPr>
                <w:rFonts w:hint="eastAsia" w:ascii="Times New Roman" w:hAnsi="Times New Roman" w:cs="Times New Roman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控</w:t>
            </w:r>
            <w:r>
              <w:rPr>
                <w:rFonts w:ascii="Times New Roman" w:hAnsi="Times New Roman" w:cs="Times New Roman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±</w:t>
            </w:r>
            <w:r>
              <w:rPr>
                <w:rFonts w:ascii="Times New Roman" w:hAnsi="Times New Roman" w:cs="Times New Roman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%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2</w:t>
            </w:r>
            <w:r>
              <w:rPr>
                <w:rFonts w:hint="eastAsia" w:ascii="Times New Roman" w:hAnsi="Times New Roman" w:cs="Times New Roman" w:eastAsiaTheme="maj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  <w:r>
              <w:rPr>
                <w:rFonts w:hint="eastAsia" w:ascii="Times New Roman" w:hAnsi="Times New Roman" w:cs="Times New Roman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%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0.67</w:t>
            </w:r>
            <w:r>
              <w:rPr>
                <w:rFonts w:hint="eastAsia" w:ascii="Times New Roman" w:hAnsi="Times New Roman" w:cs="Times New Roman" w:eastAsiaTheme="maj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无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2"/>
          </w:tcPr>
          <w:p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过程要素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计量特性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测量误差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其他特性</w:t>
            </w:r>
          </w:p>
        </w:tc>
        <w:tc>
          <w:tcPr>
            <w:tcW w:w="143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耐</w:t>
            </w:r>
            <w:r>
              <w:rPr>
                <w:rFonts w:hint="eastAsia" w:ascii="Times New Roman" w:hAnsi="Times New Roman" w:cs="Times New Roman" w:eastAsiaTheme="majorEastAsia"/>
                <w:szCs w:val="21"/>
              </w:rPr>
              <w:t>电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压测试仪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（0-5）kV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i/>
                <w:iCs/>
                <w:szCs w:val="21"/>
              </w:rPr>
              <w:t>/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0.4%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/</w:t>
            </w: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测量过程控制规范编号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BEKJ-CLGF-201902</w:t>
            </w:r>
            <w:r>
              <w:rPr>
                <w:rFonts w:ascii="Times New Roman" w:hAnsi="Times New Roman" w:cs="Times New Roman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ascii="Times New Roman" w:hAnsi="Times New Roman" w:cs="Times New Roman" w:eastAsiaTheme="majorEastAsia"/>
                <w:snapToGrid w:val="0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低压开关柜耐受电压测量过程控制规范</w:t>
            </w:r>
            <w:r>
              <w:rPr>
                <w:rFonts w:ascii="Times New Roman" w:hAnsi="Times New Roman" w:cs="Times New Roman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测量方法编号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240" w:lineRule="auto"/>
              <w:jc w:val="both"/>
              <w:rPr>
                <w:rFonts w:hint="default" w:ascii="Times New Roman" w:hAnsi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ajorEastAsia"/>
                <w:b w:val="0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依据GB/T7251.12-2013《低压成套开关设备和控制设备 第2部分： 成套电力开关和控制设备》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环境条件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常温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操作人员姓名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李阳</w:t>
            </w:r>
            <w:r>
              <w:rPr>
                <w:rFonts w:ascii="Times New Roman" w:hAnsi="Times New Roman" w:cs="Times New Roman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，培训后上岗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测量不确定度评定方法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color w:val="C0000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见《</w:t>
            </w:r>
            <w:r>
              <w:rPr>
                <w:rFonts w:hint="eastAsia"/>
                <w:bCs/>
                <w:szCs w:val="21"/>
              </w:rPr>
              <w:t>介电强度试验承受</w:t>
            </w:r>
            <w:r>
              <w:rPr>
                <w:bCs/>
                <w:szCs w:val="21"/>
              </w:rPr>
              <w:t>电压</w:t>
            </w:r>
            <w:r>
              <w:rPr>
                <w:rFonts w:hint="eastAsia"/>
                <w:bCs/>
                <w:szCs w:val="21"/>
              </w:rPr>
              <w:t>测量过程</w:t>
            </w:r>
            <w:r>
              <w:rPr>
                <w:rFonts w:ascii="Times New Roman" w:hAnsi="Times New Roman" w:cs="Times New Roman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测量</w:t>
            </w:r>
            <w:r>
              <w:rPr>
                <w:rFonts w:ascii="Times New Roman" w:hAnsi="Times New Roman" w:cs="Times New Roman" w:eastAsiaTheme="majorEastAsia"/>
                <w:snapToGrid w:val="0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过程不确定评定报告</w:t>
            </w:r>
            <w:r>
              <w:rPr>
                <w:rFonts w:ascii="Times New Roman" w:hAnsi="Times New Roman" w:cs="Times New Roman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》附录A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有效性确认方法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ascii="Times New Roman" w:hAnsi="Times New Roman" w:cs="Times New Roman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见《</w:t>
            </w:r>
            <w:r>
              <w:rPr>
                <w:rFonts w:hint="eastAsia" w:ascii="Times New Roman" w:hAnsi="Times New Roman" w:cs="Times New Roman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高度控制</w:t>
            </w:r>
            <w:r>
              <w:rPr>
                <w:rFonts w:ascii="Times New Roman" w:hAnsi="Times New Roman" w:cs="Times New Roman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测量</w:t>
            </w:r>
            <w:r>
              <w:rPr>
                <w:rFonts w:ascii="Times New Roman" w:hAnsi="Times New Roman" w:cs="Times New Roman" w:eastAsiaTheme="majorEastAsia"/>
                <w:snapToGrid w:val="0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过程</w:t>
            </w:r>
            <w:r>
              <w:rPr>
                <w:rFonts w:ascii="Times New Roman" w:hAnsi="Times New Roman" w:cs="Times New Roman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有效性确认记录》附录B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监视记录及控制图绘制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见《测量</w:t>
            </w:r>
            <w:r>
              <w:rPr>
                <w:rFonts w:ascii="Times New Roman" w:hAnsi="Times New Roman" w:cs="Times New Roman" w:eastAsiaTheme="majorEastAsia"/>
                <w:snapToGrid w:val="0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过程</w:t>
            </w:r>
            <w:r>
              <w:rPr>
                <w:rFonts w:ascii="Times New Roman" w:hAnsi="Times New Roman" w:cs="Times New Roman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监视</w:t>
            </w:r>
            <w:r>
              <w:rPr>
                <w:rFonts w:hint="eastAsia" w:ascii="Times New Roman" w:hAnsi="Times New Roman" w:cs="Times New Roman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方法、监视</w:t>
            </w:r>
            <w:r>
              <w:rPr>
                <w:rFonts w:ascii="Times New Roman" w:hAnsi="Times New Roman" w:cs="Times New Roman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记录及控制图》附录 C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审核记录：</w:t>
            </w:r>
          </w:p>
          <w:p>
            <w:pPr>
              <w:jc w:val="left"/>
              <w:rPr>
                <w:rFonts w:ascii="Times New Roman" w:hAnsi="Times New Roman" w:cs="Times New Roman" w:eastAsiaTheme="majorEastAsia"/>
                <w:bCs/>
                <w:szCs w:val="21"/>
              </w:rPr>
            </w:pPr>
            <w:r>
              <w:rPr>
                <w:rFonts w:ascii="Times New Roman" w:hAnsi="Times New Roman" w:cs="Times New Roman" w:eastAsiaTheme="majorEastAsia"/>
                <w:snapToGrid w:val="0"/>
                <w:kern w:val="0"/>
                <w:szCs w:val="21"/>
              </w:rPr>
              <w:t>1.查《</w:t>
            </w:r>
            <w:r>
              <w:rPr>
                <w:rFonts w:hint="eastAsia"/>
                <w:bCs/>
                <w:szCs w:val="21"/>
              </w:rPr>
              <w:t>介电强度试验承受</w:t>
            </w:r>
            <w:r>
              <w:rPr>
                <w:bCs/>
                <w:szCs w:val="21"/>
              </w:rPr>
              <w:t>电压</w:t>
            </w:r>
            <w:r>
              <w:rPr>
                <w:rFonts w:ascii="Times New Roman" w:hAnsi="Times New Roman" w:cs="Times New Roman" w:eastAsiaTheme="majorEastAsia"/>
                <w:snapToGrid w:val="0"/>
                <w:kern w:val="0"/>
                <w:szCs w:val="21"/>
              </w:rPr>
              <w:t>测量</w:t>
            </w:r>
            <w:r>
              <w:rPr>
                <w:rFonts w:ascii="Times New Roman" w:hAnsi="Times New Roman" w:cs="Times New Roman" w:eastAsiaTheme="majorEastAsia"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控制规范</w:t>
            </w:r>
            <w:r>
              <w:rPr>
                <w:rFonts w:ascii="Times New Roman" w:hAnsi="Times New Roman" w:cs="Times New Roman" w:eastAsiaTheme="majorEastAsia"/>
                <w:snapToGrid w:val="0"/>
                <w:kern w:val="0"/>
                <w:szCs w:val="21"/>
              </w:rPr>
              <w:t>》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2.查该测量过程要素：测量设备、测量方法、环境条件、人员操作技能等均受控。</w:t>
            </w:r>
          </w:p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3.查该测量过程不确定度评定方法正确。</w:t>
            </w:r>
          </w:p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5.查该测量过程监视记录，在控制限</w:t>
            </w:r>
            <w:r>
              <w:rPr>
                <w:rFonts w:hint="eastAsia" w:ascii="Times New Roman" w:hAnsi="Times New Roman" w:cs="Times New Roman" w:eastAsiaTheme="majorEastAsia"/>
                <w:szCs w:val="21"/>
              </w:rPr>
              <w:t>内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。测量过程控制图绘制方法正确。</w:t>
            </w:r>
          </w:p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审核结论：</w:t>
            </w:r>
            <w:r>
              <w:rPr>
                <w:rFonts w:ascii="Times New Roman" w:hAnsi="Times New Roman" w:cs="Times New Roman" w:eastAsiaTheme="majorEastAsia"/>
                <w:szCs w:val="21"/>
              </w:rPr>
              <w:sym w:font="Wingdings" w:char="F0FE"/>
            </w:r>
            <w:r>
              <w:rPr>
                <w:rFonts w:ascii="Times New Roman" w:hAnsi="Times New Roman" w:cs="Times New Roman" w:eastAsiaTheme="majorEastAsia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cs="Times New Roman" w:eastAsiaTheme="majorEastAsia"/>
          <w:szCs w:val="21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5078730</wp:posOffset>
            </wp:positionH>
            <wp:positionV relativeFrom="paragraph">
              <wp:posOffset>343535</wp:posOffset>
            </wp:positionV>
            <wp:extent cx="523875" cy="325755"/>
            <wp:effectExtent l="0" t="0" r="0" b="17145"/>
            <wp:wrapTight wrapText="bothSides">
              <wp:wrapPolygon>
                <wp:start x="4556" y="1263"/>
                <wp:lineTo x="2278" y="10105"/>
                <wp:lineTo x="1519" y="18947"/>
                <wp:lineTo x="3796" y="20211"/>
                <wp:lineTo x="9871" y="20211"/>
                <wp:lineTo x="18982" y="18947"/>
                <wp:lineTo x="18982" y="7579"/>
                <wp:lineTo x="8352" y="1263"/>
                <wp:lineTo x="4556" y="1263"/>
              </wp:wrapPolygon>
            </wp:wrapTight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  <w:szCs w:val="21"/>
        </w:rPr>
        <w:t>审核日期：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2020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年   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月   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16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日</w:t>
      </w:r>
      <w:r>
        <w:rPr>
          <w:rFonts w:ascii="Times New Roman" w:hAnsi="Times New Roman" w:cs="Times New Roman" w:eastAsiaTheme="majorEastAsia"/>
          <w:color w:val="FF0000"/>
          <w:szCs w:val="21"/>
        </w:rPr>
        <w:t xml:space="preserve">     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审核员：</w:t>
      </w:r>
      <w:r>
        <w:rPr>
          <w:rFonts w:hint="eastAsia" w:eastAsia="宋体"/>
          <w:u w:val="none"/>
          <w:lang w:eastAsia="zh-CN"/>
        </w:rPr>
        <w:drawing>
          <wp:inline distT="0" distB="0" distL="114300" distR="114300">
            <wp:extent cx="635635" cy="408940"/>
            <wp:effectExtent l="10160" t="16510" r="20955" b="31750"/>
            <wp:docPr id="5" name="图片 1" descr="微信图片_2018031309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微信图片_201803130939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80000">
                      <a:off x="0" y="0"/>
                      <a:ext cx="63563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color w:val="FF0000"/>
          <w:szCs w:val="21"/>
        </w:rPr>
        <w:t xml:space="preserve"> 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 w:eastAsiaTheme="majorEastAsia"/>
          <w:szCs w:val="21"/>
        </w:rPr>
        <w:t xml:space="preserve">  企业部门代表：</w:t>
      </w:r>
      <w:bookmarkStart w:id="0" w:name="_GoBack"/>
      <w:bookmarkEnd w:id="0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77.5pt;margin-top:-0.4pt;height:20.6pt;width:215.25pt;z-index:251658240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Ge6XXWAAAACAEA&#10;AA8AAAAAAAAAAQAgAAAAIgAAAGRycy9kb3ducmV2LnhtbFBLAQIUABQAAAAIAIdO4kAglVT2qgEA&#10;ACwDAAAOAAAAAAAAAAEAIAAAACUBAABkcnMvZTJvRG9jLnhtbFBLBQYAAAAABgAGAFkBAABB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58240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n+N1e0gAAAAUBAAAPAAAAAAAAAAEAIAAAACIAAABkcnMvZG93bnJldi54&#10;bWxQSwECFAAUAAAACACHTuJAbCeUvccBAACGAwAADgAAAAAAAAABACAAAAAhAQAAZHJzL2Uyb0Rv&#10;Yy54bWxQSwUGAAAAAAYABgBZAQAAW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97"/>
    <w:rsid w:val="00052297"/>
    <w:rsid w:val="00087451"/>
    <w:rsid w:val="00174B5D"/>
    <w:rsid w:val="001A19A7"/>
    <w:rsid w:val="00393957"/>
    <w:rsid w:val="003B03A5"/>
    <w:rsid w:val="004E151A"/>
    <w:rsid w:val="0067353D"/>
    <w:rsid w:val="007A0FD5"/>
    <w:rsid w:val="009B7974"/>
    <w:rsid w:val="00AA7835"/>
    <w:rsid w:val="00B82DD6"/>
    <w:rsid w:val="00C75ABE"/>
    <w:rsid w:val="00C816F2"/>
    <w:rsid w:val="00EA647E"/>
    <w:rsid w:val="00F4554F"/>
    <w:rsid w:val="0181064C"/>
    <w:rsid w:val="02663F3C"/>
    <w:rsid w:val="051D27EF"/>
    <w:rsid w:val="0B8F50C7"/>
    <w:rsid w:val="0BA34CBB"/>
    <w:rsid w:val="0DB02B5B"/>
    <w:rsid w:val="0F2A011F"/>
    <w:rsid w:val="0F8D60A9"/>
    <w:rsid w:val="1066621C"/>
    <w:rsid w:val="11EA205C"/>
    <w:rsid w:val="144C6EDD"/>
    <w:rsid w:val="14651FBF"/>
    <w:rsid w:val="15D65C38"/>
    <w:rsid w:val="16170432"/>
    <w:rsid w:val="1627373C"/>
    <w:rsid w:val="18C64E66"/>
    <w:rsid w:val="1B650F15"/>
    <w:rsid w:val="1EA57B71"/>
    <w:rsid w:val="22F94476"/>
    <w:rsid w:val="246E4FEE"/>
    <w:rsid w:val="24A76E39"/>
    <w:rsid w:val="28B219F2"/>
    <w:rsid w:val="2E5C0A49"/>
    <w:rsid w:val="2E6D263F"/>
    <w:rsid w:val="2EB315E7"/>
    <w:rsid w:val="308C30A5"/>
    <w:rsid w:val="3120555D"/>
    <w:rsid w:val="314A2B5E"/>
    <w:rsid w:val="32C363AA"/>
    <w:rsid w:val="346F3B9C"/>
    <w:rsid w:val="34A07B5F"/>
    <w:rsid w:val="395426B2"/>
    <w:rsid w:val="3C977CC4"/>
    <w:rsid w:val="3D895A11"/>
    <w:rsid w:val="3FDE3452"/>
    <w:rsid w:val="42A11015"/>
    <w:rsid w:val="42F24A7F"/>
    <w:rsid w:val="47B77F87"/>
    <w:rsid w:val="47D638DA"/>
    <w:rsid w:val="48104809"/>
    <w:rsid w:val="4A61141E"/>
    <w:rsid w:val="51E6293C"/>
    <w:rsid w:val="52AF6EC5"/>
    <w:rsid w:val="54A24D84"/>
    <w:rsid w:val="568F0733"/>
    <w:rsid w:val="56916BF1"/>
    <w:rsid w:val="57842DA4"/>
    <w:rsid w:val="57ED3A0E"/>
    <w:rsid w:val="5F453673"/>
    <w:rsid w:val="62814047"/>
    <w:rsid w:val="64AE48C1"/>
    <w:rsid w:val="670D7C94"/>
    <w:rsid w:val="6C4C3B7A"/>
    <w:rsid w:val="6E3915AD"/>
    <w:rsid w:val="6FB904E3"/>
    <w:rsid w:val="70B33FCF"/>
    <w:rsid w:val="73757661"/>
    <w:rsid w:val="7582460C"/>
    <w:rsid w:val="763A2315"/>
    <w:rsid w:val="76646E1C"/>
    <w:rsid w:val="7B3B121C"/>
    <w:rsid w:val="7BEA0002"/>
    <w:rsid w:val="7CC233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697</Characters>
  <Lines>5</Lines>
  <Paragraphs>1</Paragraphs>
  <TotalTime>0</TotalTime>
  <ScaleCrop>false</ScaleCrop>
  <LinksUpToDate>false</LinksUpToDate>
  <CharactersWithSpaces>818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2020-03-16T16:22:35Z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