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r>
        <w:rPr>
          <w:rFonts w:hint="eastAsia" w:ascii="宋体" w:hAnsi="宋体"/>
          <w:b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-325120</wp:posOffset>
            </wp:positionV>
            <wp:extent cx="6641465" cy="9077325"/>
            <wp:effectExtent l="0" t="0" r="635" b="3175"/>
            <wp:wrapNone/>
            <wp:docPr id="2" name="图片 2" descr="2c72adb0422f6e5689cb7e97fd87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72adb0422f6e5689cb7e97fd875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西安洛科电子科技股份有限公司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0067-2020-E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李希孝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13759985988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石油仪器仪表及配件的生产及销售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19.05.01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2020年03月13日 上午至2020年03月13日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13709207775、15389253253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李俐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蔡 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2020.3.13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2020.3.13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89"/>
        <w:gridCol w:w="649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4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</w:t>
            </w:r>
          </w:p>
        </w:tc>
        <w:tc>
          <w:tcPr>
            <w:tcW w:w="64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</w:rPr>
              <w:t>受审核部门、场所及审核内容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4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20</w:t>
            </w: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.</w:t>
            </w: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.</w:t>
            </w:r>
            <w:r>
              <w:rPr>
                <w:rFonts w:hint="eastAsia" w:ascii="宋体" w:hAnsi="宋体" w:cs="宋体"/>
                <w:b/>
                <w:sz w:val="20"/>
                <w:lang w:val="en-US" w:eastAsia="zh-CN"/>
              </w:rPr>
              <w:t>13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8:30-12:00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13:30-18:00</w:t>
            </w:r>
          </w:p>
        </w:tc>
        <w:tc>
          <w:tcPr>
            <w:tcW w:w="649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方针的制定与贯彻情况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环境因素的识别和评价程序合理性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体系覆盖产品及产品生产关键过程、特殊过程的识别和确认情况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适用的法律和其他要求的获取、识别程序实施情况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组织的目标、指标和管理方案合理性及实施情况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组织法律法规的遵循情况 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内审和管理评审的实施情况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管理体系文件审核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left="852" w:leftChars="0" w:hanging="420" w:firstLineChars="0"/>
              <w:textAlignment w:val="center"/>
              <w:rPr>
                <w:rFonts w:hint="eastAsia" w:ascii="宋体" w:hAnsi="宋体" w:eastAsia="宋体" w:cs="宋体"/>
                <w:b w:val="0"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识别二阶段审核的资源配置情况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0D2623"/>
    <w:rsid w:val="63F83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LIL</cp:lastModifiedBy>
  <cp:lastPrinted>2019-03-27T03:10:00Z</cp:lastPrinted>
  <dcterms:modified xsi:type="dcterms:W3CDTF">2020-03-18T17:55:28Z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