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20430-2023-Q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广州迈赫姆电子科技有限公司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张桂芹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杨冰</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2021-N1QMS-1222864</w:t>
            </w:r>
          </w:p>
        </w:tc>
        <w:tc>
          <w:tcPr>
            <w:tcW w:w="3145" w:type="dxa"/>
            <w:vAlign w:val="center"/>
          </w:tcPr>
          <w:p w:rsidR="00A824E9">
            <w:pPr>
              <w:spacing w:line="360" w:lineRule="exact"/>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张桂芹</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ISC-292902</w:t>
            </w:r>
          </w:p>
          <w:p w:rsidR="00A824E9">
            <w:pPr>
              <w:spacing w:line="360" w:lineRule="exact"/>
              <w:jc w:val="center"/>
              <w:rPr>
                <w:b/>
                <w:szCs w:val="21"/>
              </w:rPr>
            </w:pPr>
            <w:r>
              <w:rPr>
                <w:b/>
                <w:szCs w:val="21"/>
              </w:rPr>
              <w:t>退休（深圳市龙电电气有限公司）</w:t>
            </w:r>
          </w:p>
        </w:tc>
        <w:tc>
          <w:tcPr>
            <w:tcW w:w="3145" w:type="dxa"/>
            <w:vAlign w:val="center"/>
          </w:tcPr>
          <w:p w:rsidR="00A824E9">
            <w:pPr>
              <w:spacing w:line="360" w:lineRule="exact"/>
              <w:jc w:val="center"/>
              <w:rPr>
                <w:b/>
                <w:szCs w:val="21"/>
              </w:rPr>
            </w:pPr>
            <w:r>
              <w:rPr>
                <w:b/>
                <w:szCs w:val="21"/>
              </w:rPr>
              <w:t>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2023年06月06日 下午至2023年06月08日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广州市番禺区东环街番禺大道北555号天安总部中心23号楼1504、1505房</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广州市番禺区东环街番禺大道北555号天安总部中心23号楼1504、1505房</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