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0354-2022-H-2023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厦门美滋颜实业有限公司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CIV-4,CIV-7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2023年06月14日 上午至2023年06月15日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厦门市翔安区翔安工业园区巷北片区舫山北二路1123-1139号1号楼2层、3层北侧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厦门市翔安区翔安工业园区巷北片区舫山北二路1123-1139号1号楼2层、3层北侧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