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江西鲲鹏钢艺设备有限公司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生产部未提供叉车定期检验的相关证据。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70585" cy="415290"/>
                  <wp:effectExtent l="0" t="0" r="5715" b="3810"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70585" cy="428625"/>
                  <wp:effectExtent l="0" t="0" r="5715" b="3175"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  <w:bookmarkStart w:id="7" w:name="_GoBack"/>
            <w:bookmarkEnd w:id="7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2020.3.19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2020.3.19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70585" cy="428625"/>
                  <wp:effectExtent l="0" t="0" r="5715" b="3175"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2020.3.20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hint="default" w:eastAsia="黑体"/>
          <w:b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val="en-US" w:eastAsia="zh-CN"/>
        </w:rPr>
        <w:t>整改材料见相关证据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17873"/>
    <w:rsid w:val="57AD236D"/>
    <w:rsid w:val="59A65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2020-03-24T08:46:02Z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