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江西恒金智能科技有限公司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rsidR="004373D7" w:rsidRPr="00E40A99">
            <w:pPr>
              <w:pStyle w:val="a"/>
              <w:rPr>
                <w:szCs w:val="21"/>
              </w:rPr>
            </w:pPr>
            <w:r w:rsidRPr="00E40A99">
              <w:rPr>
                <w:szCs w:val="21"/>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rsidR="004373D7" w:rsidRPr="00E40A99">
            <w:pPr>
              <w:pStyle w:val="a"/>
              <w:rPr>
                <w:szCs w:val="21"/>
              </w:rPr>
            </w:pPr>
            <w:r w:rsidRPr="00E40A99">
              <w:rPr>
                <w:szCs w:val="21"/>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