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绵阳市鑫隆化工有限公司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0057-2020-Q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一阶段</w:t>
            </w:r>
            <w:bookmarkEnd w:id="3"/>
            <w:r>
              <w:rPr>
                <w:rFonts w:hint="eastAsia"/>
                <w:sz w:val="22"/>
                <w:szCs w:val="22"/>
                <w:lang w:eastAsia="zh-CN"/>
              </w:rPr>
              <w:t>远程审核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张心</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2020年03月10日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2020年03月10日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994" w:firstLineChars="450"/>
              <w:jc w:val="center"/>
              <w:rPr>
                <w:rFonts w:hint="eastAsia"/>
                <w:b/>
                <w:sz w:val="22"/>
                <w:szCs w:val="22"/>
              </w:rPr>
            </w:pPr>
            <w:bookmarkStart w:id="4" w:name="_GoBack"/>
            <w:bookmarkEnd w:id="4"/>
            <w:r>
              <w:rPr>
                <w:rFonts w:hint="eastAsia"/>
                <w:b/>
                <w:sz w:val="22"/>
                <w:szCs w:val="22"/>
              </w:rPr>
              <w:t>（签字/盖章）</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2020年03月10日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0C29C6"/>
    <w:rsid w:val="59EE6EB9"/>
    <w:rsid w:val="66AC7F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2020-03-21T03:17:55Z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