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0057-2020-Q</w:t>
      </w:r>
      <w:bookmarkEnd w:id="0"/>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both"/>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绵阳市鑫隆化工有限公司</w:t>
      </w:r>
      <w:bookmarkEnd w:id="1"/>
    </w:p>
    <w:p>
      <w:pPr>
        <w:snapToGrid w:val="0"/>
        <w:spacing w:after="94" w:afterLines="30"/>
        <w:ind w:firstLine="964" w:firstLineChars="300"/>
        <w:rPr>
          <w:rFonts w:hint="eastAsia" w:ascii="楷体" w:hAnsi="楷体" w:eastAsia="楷体"/>
          <w:b/>
          <w:color w:val="000000"/>
          <w:sz w:val="32"/>
          <w:szCs w:val="32"/>
        </w:rPr>
      </w:pPr>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lang w:eastAsia="zh-CN"/>
        </w:rPr>
        <w:t>☑</w:t>
      </w:r>
      <w:r>
        <w:rPr>
          <w:rFonts w:hint="eastAsia"/>
          <w:b/>
          <w:color w:val="000000"/>
          <w:spacing w:val="-10"/>
          <w:szCs w:val="21"/>
          <w:lang w:val="en-US" w:eastAsia="zh-CN"/>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lang w:eastAsia="zh-CN"/>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lang w:eastAsia="zh-CN"/>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lang w:eastAsia="zh-CN"/>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绵阳市鑫隆化工有限公司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四川省绵阳市经开区经开区文武路509号</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610000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四川省绵阳市经开区经开区文武路509号</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马学洋</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18231875050</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刘彦平</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刘彦平</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资质范围内化学品销售</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29.11.05</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numPr>
          <w:ilvl w:val="0"/>
          <w:numId w:val="1"/>
        </w:numPr>
        <w:rPr>
          <w:rFonts w:hint="eastAsia" w:ascii="宋体" w:hAnsi="宋体"/>
          <w:b/>
          <w:color w:val="000000"/>
          <w:spacing w:val="-8"/>
          <w:sz w:val="26"/>
          <w:szCs w:val="26"/>
        </w:rPr>
      </w:pPr>
    </w:p>
    <w:p>
      <w:pPr>
        <w:snapToGrid w:val="0"/>
        <w:spacing w:beforeLines="50"/>
        <w:ind w:firstLine="245" w:firstLineChars="10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w:t>
      </w:r>
      <w:r>
        <w:rPr>
          <w:rFonts w:hint="eastAsia" w:ascii="宋体" w:hAnsi="宋体"/>
          <w:b/>
          <w:color w:val="000000"/>
          <w:spacing w:val="-2"/>
          <w:sz w:val="20"/>
          <w:szCs w:val="20"/>
          <w:lang w:eastAsia="zh-CN"/>
        </w:rPr>
        <w:t>件</w:t>
      </w:r>
      <w:r>
        <w:rPr>
          <w:rFonts w:hint="eastAsia" w:ascii="宋体" w:hAnsi="宋体"/>
          <w:b/>
          <w:color w:val="000000"/>
          <w:spacing w:val="-2"/>
          <w:sz w:val="20"/>
          <w:szCs w:val="20"/>
        </w:rPr>
        <w:t>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管理层、商贸部、综合部</w:t>
      </w:r>
      <w:r>
        <w:rPr>
          <w:rFonts w:ascii="宋体" w:hAnsi="宋体"/>
          <w:b/>
          <w:color w:val="000000"/>
          <w:sz w:val="20"/>
          <w:szCs w:val="20"/>
          <w:u w:val="single"/>
        </w:rPr>
        <w:t xml:space="preserve"> </w:t>
      </w:r>
      <w:r>
        <w:rPr>
          <w:rFonts w:hint="eastAsia" w:ascii="宋体" w:hAnsi="Times New Roman" w:cs="Times New Roman"/>
          <w:b/>
          <w:color w:val="000000"/>
          <w:sz w:val="20"/>
          <w:szCs w:val="20"/>
          <w:u w:val="single"/>
        </w:rPr>
        <w:t xml:space="preserve">       </w:t>
      </w:r>
      <w:r>
        <w:rPr>
          <w:rFonts w:hint="eastAsia" w:ascii="宋体" w:hAnsi="宋体"/>
          <w:szCs w:val="21"/>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hint="eastAsia" w:ascii="宋体" w:hAnsi="宋体"/>
                <w:szCs w:val="21"/>
              </w:rPr>
              <w:t xml:space="preserve">资质范围内化学品销售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cs="Times New Roman"/>
                <w:b/>
                <w:color w:val="000000"/>
                <w:sz w:val="20"/>
                <w:szCs w:val="20"/>
                <w:lang w:eastAsia="zh-CN"/>
              </w:rPr>
              <w:t>综合部、商贸部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商贸部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概述受审核方具体情况：</w:t>
            </w:r>
          </w:p>
          <w:p>
            <w:pPr>
              <w:rPr>
                <w:rFonts w:hint="eastAsia" w:ascii="宋体" w:hAnsi="宋体"/>
                <w:szCs w:val="21"/>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ascii="宋体"/>
                <w:b/>
                <w:color w:val="000000"/>
                <w:sz w:val="20"/>
                <w:szCs w:val="20"/>
              </w:rPr>
              <w:t>四川省绵阳市经开区经开区文武路509号</w:t>
            </w: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themeColor="text1"/>
                <w:sz w:val="20"/>
                <w:szCs w:val="20"/>
              </w:rPr>
            </w:pPr>
            <w:r>
              <w:rPr>
                <w:rFonts w:hint="eastAsia" w:ascii="宋体" w:hAnsi="宋体"/>
                <w:color w:val="000000"/>
                <w:sz w:val="20"/>
                <w:szCs w:val="20"/>
              </w:rPr>
              <w:t xml:space="preserve">其使用的建筑设施是：□自建办公用房    □自建厂房  </w:t>
            </w:r>
            <w:r>
              <w:rPr>
                <w:rFonts w:hint="eastAsia" w:ascii="宋体" w:hAnsi="宋体"/>
                <w:color w:val="000000" w:themeColor="text1"/>
                <w:sz w:val="20"/>
                <w:szCs w:val="20"/>
              </w:rPr>
              <w:t xml:space="preserve"> </w:t>
            </w:r>
            <w:r>
              <w:rPr>
                <w:rFonts w:hint="eastAsia" w:ascii="宋体" w:hAnsi="宋体"/>
                <w:b/>
                <w:bCs/>
                <w:color w:val="000000" w:themeColor="text1"/>
                <w:sz w:val="20"/>
                <w:szCs w:val="20"/>
                <w:lang w:eastAsia="zh-CN"/>
              </w:rPr>
              <w:t>☑</w:t>
            </w:r>
            <w:r>
              <w:rPr>
                <w:rFonts w:hint="eastAsia" w:ascii="宋体" w:hAnsi="宋体"/>
                <w:b/>
                <w:bCs/>
                <w:color w:val="000000" w:themeColor="text1"/>
                <w:sz w:val="20"/>
                <w:szCs w:val="20"/>
              </w:rPr>
              <w:t>租用办公用房</w:t>
            </w:r>
            <w:r>
              <w:rPr>
                <w:rFonts w:hint="eastAsia" w:ascii="宋体" w:hAnsi="宋体"/>
                <w:color w:val="000000" w:themeColor="text1"/>
                <w:sz w:val="20"/>
                <w:szCs w:val="20"/>
              </w:rPr>
              <w:t xml:space="preserve">   </w:t>
            </w:r>
            <w:r>
              <w:rPr>
                <w:rFonts w:hint="eastAsia" w:ascii="宋体" w:hAnsi="宋体"/>
                <w:color w:val="000000" w:themeColor="text1"/>
                <w:sz w:val="20"/>
                <w:szCs w:val="20"/>
                <w:lang w:eastAsia="zh-CN"/>
              </w:rPr>
              <w:t>□</w:t>
            </w:r>
            <w:r>
              <w:rPr>
                <w:rFonts w:hint="eastAsia" w:ascii="宋体" w:hAnsi="宋体"/>
                <w:color w:val="000000" w:themeColor="text1"/>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受审核方是否属于高风险地区   □是  </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受审核方周边是否具有危险性场所，如化工厂、加油站等  □有  </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组织</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组织</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w:t>
            </w:r>
            <w:r>
              <w:rPr>
                <w:rFonts w:hint="eastAsia" w:ascii="宋体"/>
                <w:color w:val="000000"/>
                <w:sz w:val="20"/>
                <w:szCs w:val="20"/>
                <w:lang w:val="en-US" w:eastAsia="zh-CN"/>
              </w:rPr>
              <w:t xml:space="preserve">  </w:t>
            </w:r>
            <w:r>
              <w:rPr>
                <w:rFonts w:hint="eastAsia" w:ascii="宋体"/>
                <w:color w:val="000000"/>
                <w:sz w:val="20"/>
                <w:szCs w:val="20"/>
              </w:rPr>
              <w:t>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lang w:eastAsia="zh-CN"/>
              </w:rPr>
              <w:t>☑</w:t>
            </w:r>
            <w:r>
              <w:rPr>
                <w:rFonts w:hint="eastAsia" w:ascii="宋体"/>
                <w:color w:val="000000"/>
                <w:sz w:val="20"/>
                <w:szCs w:val="20"/>
              </w:rPr>
              <w:t xml:space="preserve">白班生产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color w:val="000000" w:themeColor="text1"/>
                <w:sz w:val="20"/>
                <w:szCs w:val="20"/>
                <w:lang w:val="en-US"/>
              </w:rPr>
            </w:pPr>
            <w:r>
              <w:rPr>
                <w:rFonts w:hint="eastAsia" w:ascii="宋体"/>
                <w:color w:val="000000"/>
                <w:sz w:val="20"/>
                <w:szCs w:val="20"/>
              </w:rPr>
              <w:t>其他</w:t>
            </w:r>
            <w:r>
              <w:rPr>
                <w:rFonts w:hint="eastAsia" w:ascii="宋体"/>
                <w:color w:val="000000" w:themeColor="text1"/>
                <w:sz w:val="20"/>
                <w:szCs w:val="20"/>
              </w:rPr>
              <w:t>资质：</w:t>
            </w:r>
            <w:r>
              <w:rPr>
                <w:rFonts w:hint="eastAsia" w:ascii="宋体"/>
                <w:color w:val="000000" w:themeColor="text1"/>
                <w:sz w:val="20"/>
                <w:szCs w:val="20"/>
                <w:lang w:val="en-US" w:eastAsia="zh-CN"/>
              </w:rPr>
              <w:t xml:space="preserve">    </w:t>
            </w:r>
            <w:r>
              <w:rPr>
                <w:rFonts w:hint="eastAsia" w:ascii="宋体"/>
                <w:color w:val="000000" w:themeColor="text1"/>
                <w:sz w:val="20"/>
                <w:szCs w:val="20"/>
                <w:lang w:eastAsia="zh-CN"/>
              </w:rPr>
              <w:t>危险化学品经营许可证：川绵安经（甲）字</w:t>
            </w:r>
            <w:r>
              <w:rPr>
                <w:rFonts w:hint="eastAsia" w:ascii="宋体"/>
                <w:color w:val="000000" w:themeColor="text1"/>
                <w:sz w:val="20"/>
                <w:szCs w:val="20"/>
                <w:lang w:val="en-US" w:eastAsia="zh-CN"/>
              </w:rPr>
              <w:t>[2019]00549号</w:t>
            </w:r>
          </w:p>
          <w:p>
            <w:pPr>
              <w:rPr>
                <w:rFonts w:ascii="宋体"/>
                <w:color w:val="000000"/>
                <w:sz w:val="20"/>
                <w:szCs w:val="20"/>
              </w:rPr>
            </w:pPr>
            <w:r>
              <w:rPr>
                <w:rFonts w:hint="eastAsia" w:ascii="宋体"/>
                <w:color w:val="000000" w:themeColor="text1"/>
                <w:sz w:val="20"/>
                <w:szCs w:val="20"/>
                <w:lang w:eastAsia="zh-CN"/>
              </w:rPr>
              <w:t>非药品类易制毒化学品经营备案证明：（川）</w:t>
            </w:r>
            <w:r>
              <w:rPr>
                <w:rFonts w:hint="eastAsia" w:ascii="宋体"/>
                <w:color w:val="000000" w:themeColor="text1"/>
                <w:sz w:val="20"/>
                <w:szCs w:val="20"/>
                <w:lang w:val="en-US" w:eastAsia="zh-CN"/>
              </w:rPr>
              <w:t>3J51070300011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ascii="宋体" w:hAnsi="宋体"/>
                <w:color w:val="000000"/>
                <w:sz w:val="20"/>
                <w:szCs w:val="20"/>
                <w:lang w:val="en-US" w:eastAsia="zh-CN"/>
              </w:rPr>
            </w:pPr>
            <w:r>
              <w:rPr>
                <w:rFonts w:hint="eastAsia" w:ascii="宋体" w:hAnsi="宋体"/>
                <w:color w:val="000000"/>
                <w:sz w:val="20"/>
                <w:szCs w:val="20"/>
              </w:rPr>
              <w:t>□产品技术标准号：中华人民共和国合同法、中华人民共和国劳动法、中华人民共和国安全消防法、中华人民共和国产品质量法、中华人民共和国消费者权益法等</w:t>
            </w:r>
          </w:p>
          <w:p>
            <w:pPr>
              <w:ind w:left="-1" w:leftChars="-1" w:hanging="1"/>
              <w:jc w:val="lef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组织是否有产品检验报告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ascii="宋体"/>
                <w:color w:val="000000"/>
                <w:sz w:val="20"/>
                <w:szCs w:val="20"/>
              </w:rPr>
            </w:pPr>
            <w:r>
              <w:rPr>
                <w:rFonts w:hint="eastAsia" w:ascii="宋体" w:hAnsi="宋体"/>
                <w:color w:val="000000"/>
                <w:spacing w:val="-10"/>
                <w:sz w:val="20"/>
                <w:szCs w:val="20"/>
              </w:rPr>
              <w:t>与客户洽谈——签订合同——采购——验收——交付——售后服务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关键过程有：</w:t>
            </w:r>
            <w:r>
              <w:rPr>
                <w:rFonts w:hint="eastAsia" w:ascii="宋体" w:hAnsi="宋体"/>
                <w:color w:val="000000"/>
                <w:spacing w:val="-10"/>
                <w:sz w:val="20"/>
                <w:szCs w:val="20"/>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针对关键过程建立的控制文件有</w:t>
            </w:r>
            <w:r>
              <w:rPr>
                <w:rFonts w:hint="eastAsia" w:ascii="宋体" w:hAnsi="宋体" w:cs="Times New Roman"/>
                <w:color w:val="000000"/>
                <w:spacing w:val="-10"/>
                <w:sz w:val="20"/>
                <w:szCs w:val="20"/>
                <w:lang w:eastAsia="zh-CN"/>
              </w:rPr>
              <w:t>：</w:t>
            </w:r>
            <w:r>
              <w:rPr>
                <w:rFonts w:hint="eastAsia" w:ascii="宋体" w:hAnsi="宋体"/>
                <w:color w:val="000000"/>
                <w:spacing w:val="-10"/>
                <w:sz w:val="20"/>
                <w:szCs w:val="20"/>
              </w:rPr>
              <w:t>销售服务过程控制程序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spacing w:val="-10"/>
                <w:sz w:val="20"/>
                <w:szCs w:val="20"/>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是否明确了过程的确认方法</w:t>
            </w: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r>
              <w:rPr>
                <w:rFonts w:hint="eastAsia" w:ascii="宋体" w:hAnsi="宋体"/>
                <w:color w:val="000000"/>
                <w:spacing w:val="-10"/>
                <w:sz w:val="20"/>
                <w:szCs w:val="20"/>
                <w:lang w:eastAsia="zh-CN"/>
              </w:rPr>
              <w:t>□</w:t>
            </w:r>
            <w:r>
              <w:rPr>
                <w:rFonts w:hint="eastAsia" w:ascii="宋体" w:hAnsi="宋体"/>
                <w:color w:val="000000"/>
                <w:spacing w:val="-10"/>
                <w:sz w:val="20"/>
                <w:szCs w:val="20"/>
              </w:rPr>
              <w:t>否是否明确了过程的确认准则</w:t>
            </w: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外包过程（QMS）</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olor w:val="000000" w:themeColor="text1"/>
                <w:spacing w:val="-10"/>
                <w:sz w:val="20"/>
                <w:szCs w:val="20"/>
                <w:lang w:eastAsia="zh-CN"/>
              </w:rPr>
              <w:t>采购</w:t>
            </w:r>
            <w:r>
              <w:rPr>
                <w:rFonts w:hint="eastAsia" w:ascii="宋体" w:hAnsi="宋体"/>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ascii="宋体" w:hAnsi="宋体"/>
                <w:color w:val="000000" w:themeColor="text1"/>
                <w:spacing w:val="-10"/>
                <w:sz w:val="20"/>
                <w:szCs w:val="20"/>
                <w:lang w:val="en-US" w:eastAsia="zh-CN"/>
              </w:rPr>
              <w:t>电脑及办公设备等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 xml:space="preserve">设备是否满足要求                 </w:t>
            </w:r>
            <w:r>
              <w:rPr>
                <w:rFonts w:hint="eastAsia" w:ascii="宋体" w:hAnsi="宋体"/>
                <w:color w:val="000000"/>
                <w:spacing w:val="-10"/>
                <w:sz w:val="20"/>
                <w:szCs w:val="20"/>
                <w:lang w:eastAsia="zh-CN"/>
              </w:rPr>
              <w:t>☑</w:t>
            </w:r>
            <w:r>
              <w:rPr>
                <w:rFonts w:hint="eastAsia" w:ascii="宋体" w:hAnsi="宋体"/>
                <w:color w:val="000000"/>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olor w:val="0000FF"/>
                <w:spacing w:val="-10"/>
                <w:sz w:val="20"/>
                <w:szCs w:val="20"/>
                <w:lang w:eastAsia="zh-CN"/>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监视和测量设备（请简述主要监视和测量设备）：公司只对名称、规格型号、外观、质量证明</w:t>
            </w:r>
            <w:r>
              <w:rPr>
                <w:rFonts w:hint="eastAsia" w:ascii="宋体" w:hAnsi="宋体"/>
                <w:color w:val="000000"/>
                <w:spacing w:val="-10"/>
                <w:sz w:val="20"/>
                <w:szCs w:val="20"/>
                <w:lang w:eastAsia="zh-CN"/>
              </w:rPr>
              <w:t>性文件</w:t>
            </w:r>
            <w:r>
              <w:rPr>
                <w:rFonts w:hint="eastAsia" w:ascii="宋体" w:hAnsi="宋体"/>
                <w:color w:val="000000"/>
                <w:spacing w:val="-10"/>
                <w:sz w:val="20"/>
                <w:szCs w:val="20"/>
              </w:rPr>
              <w:t>等进行验证</w:t>
            </w:r>
            <w:r>
              <w:rPr>
                <w:rFonts w:hint="eastAsia" w:ascii="宋体" w:hAnsi="宋体"/>
                <w:color w:val="000000"/>
                <w:spacing w:val="-10"/>
                <w:sz w:val="20"/>
                <w:szCs w:val="20"/>
                <w:lang w:eastAsia="zh-CN"/>
              </w:rPr>
              <w:t>；质量技术特性由供方提供，故公司无</w:t>
            </w:r>
            <w:r>
              <w:rPr>
                <w:rFonts w:hint="eastAsia" w:ascii="宋体" w:hAnsi="宋体"/>
                <w:color w:val="000000"/>
                <w:spacing w:val="-10"/>
                <w:sz w:val="20"/>
                <w:szCs w:val="20"/>
              </w:rPr>
              <w:t>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eastAsia="宋体"/>
                <w:color w:val="FF0000"/>
                <w:spacing w:val="-10"/>
                <w:sz w:val="20"/>
                <w:szCs w:val="20"/>
                <w:lang w:eastAsia="zh-CN"/>
              </w:rPr>
            </w:pPr>
            <w:r>
              <w:rPr>
                <w:rFonts w:hint="eastAsia" w:ascii="宋体" w:hAnsi="宋体"/>
                <w:color w:val="000000"/>
                <w:spacing w:val="-10"/>
                <w:sz w:val="20"/>
                <w:szCs w:val="20"/>
              </w:rPr>
              <w:t xml:space="preserve">检测设备是否满足要求              </w:t>
            </w:r>
            <w:r>
              <w:rPr>
                <w:rFonts w:hint="eastAsia" w:ascii="宋体" w:hAnsi="宋体"/>
                <w:color w:val="000000"/>
                <w:spacing w:val="-10"/>
                <w:sz w:val="20"/>
                <w:szCs w:val="20"/>
                <w:lang w:eastAsia="zh-CN"/>
              </w:rPr>
              <w:t>☑</w:t>
            </w:r>
            <w:r>
              <w:rPr>
                <w:rFonts w:hint="eastAsia" w:ascii="宋体" w:hAnsi="宋体"/>
                <w:color w:val="000000"/>
                <w:spacing w:val="-10"/>
                <w:sz w:val="20"/>
                <w:szCs w:val="20"/>
              </w:rPr>
              <w:t xml:space="preserve">是 </w:t>
            </w: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r>
              <w:rPr>
                <w:rFonts w:hint="eastAsia" w:ascii="宋体" w:hAnsi="宋体"/>
                <w:color w:val="000000"/>
                <w:spacing w:val="-10"/>
                <w:sz w:val="20"/>
                <w:szCs w:val="20"/>
                <w:lang w:eastAsia="zh-CN"/>
              </w:rPr>
              <w:t>（以上检具不能提供有效校验证书）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10</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组织</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商贸部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 w:val="21"/>
                <w:szCs w:val="21"/>
              </w:rPr>
              <w:t>建立有《内部审核控制程序》，于201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7</w:t>
            </w:r>
            <w:r>
              <w:rPr>
                <w:rFonts w:hint="eastAsia" w:ascii="宋体" w:hAnsi="宋体"/>
                <w:sz w:val="21"/>
                <w:szCs w:val="21"/>
              </w:rPr>
              <w:t>进行了内部审核。内部审核组</w:t>
            </w:r>
            <w:r>
              <w:rPr>
                <w:rFonts w:hint="eastAsia" w:ascii="宋体" w:hAnsi="宋体"/>
                <w:sz w:val="21"/>
                <w:szCs w:val="21"/>
                <w:lang w:eastAsia="zh-CN"/>
              </w:rPr>
              <w:t>组成</w:t>
            </w:r>
            <w:r>
              <w:rPr>
                <w:rFonts w:hint="eastAsia" w:ascii="宋体" w:hAnsi="宋体"/>
                <w:sz w:val="21"/>
                <w:szCs w:val="21"/>
              </w:rPr>
              <w:t>：审核组长：王强     组员：银瑞</w:t>
            </w:r>
            <w:r>
              <w:rPr>
                <w:rFonts w:hint="eastAsia" w:ascii="宋体" w:hAnsi="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仿宋" w:hAnsi="仿宋" w:eastAsia="仿宋"/>
                <w:sz w:val="24"/>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p>
            <w:pPr>
              <w:spacing w:line="340" w:lineRule="exact"/>
              <w:rPr>
                <w:rFonts w:ascii="仿宋" w:hAnsi="仿宋" w:eastAsia="仿宋"/>
                <w:sz w:val="24"/>
              </w:rPr>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w:t>
            </w:r>
            <w:r>
              <w:rPr>
                <w:rFonts w:hint="eastAsia" w:ascii="宋体" w:hAnsi="宋体"/>
                <w:kern w:val="0"/>
                <w:sz w:val="21"/>
                <w:szCs w:val="21"/>
                <w:lang w:val="en-US" w:eastAsia="zh-CN"/>
              </w:rPr>
              <w:t>019</w:t>
            </w:r>
            <w:r>
              <w:rPr>
                <w:rFonts w:hint="eastAsia" w:ascii="宋体" w:hAnsi="宋体"/>
                <w:kern w:val="0"/>
                <w:sz w:val="21"/>
                <w:szCs w:val="21"/>
              </w:rPr>
              <w:t>年</w:t>
            </w:r>
            <w:r>
              <w:rPr>
                <w:rFonts w:hint="eastAsia" w:ascii="宋体" w:hAnsi="宋体"/>
                <w:kern w:val="0"/>
                <w:sz w:val="21"/>
                <w:szCs w:val="21"/>
                <w:lang w:val="en-US" w:eastAsia="zh-CN"/>
              </w:rPr>
              <w:t>12</w:t>
            </w:r>
            <w:r>
              <w:rPr>
                <w:rFonts w:hint="eastAsia" w:ascii="宋体" w:hAnsi="宋体"/>
                <w:kern w:val="0"/>
                <w:sz w:val="21"/>
                <w:szCs w:val="21"/>
                <w:lang w:eastAsia="zh-CN"/>
              </w:rPr>
              <w:t>月</w:t>
            </w:r>
            <w:r>
              <w:rPr>
                <w:rFonts w:hint="eastAsia" w:ascii="宋体" w:hAnsi="宋体"/>
                <w:kern w:val="0"/>
                <w:sz w:val="21"/>
                <w:szCs w:val="21"/>
                <w:lang w:val="en-US" w:eastAsia="zh-CN"/>
              </w:rPr>
              <w:t>27</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lang w:eastAsia="zh-CN"/>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QMS:资质范围内化学品销售</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hint="eastAsia"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1807845</wp:posOffset>
            </wp:positionH>
            <wp:positionV relativeFrom="paragraph">
              <wp:posOffset>357505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hint="eastAsia" w:ascii="宋体" w:hAnsi="宋体"/>
          <w:b/>
          <w:color w:val="000000"/>
        </w:rPr>
      </w:pPr>
      <w:r>
        <w:rPr>
          <w:rFonts w:hint="eastAsia"/>
          <w:b/>
          <w:sz w:val="22"/>
          <w:szCs w:val="22"/>
        </w:rPr>
        <w:drawing>
          <wp:anchor distT="0" distB="0" distL="114300" distR="114300" simplePos="0" relativeHeight="251665408" behindDoc="0" locked="0" layoutInCell="1" allowOverlap="1">
            <wp:simplePos x="0" y="0"/>
            <wp:positionH relativeFrom="column">
              <wp:posOffset>1769745</wp:posOffset>
            </wp:positionH>
            <wp:positionV relativeFrom="paragraph">
              <wp:posOffset>12700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hint="eastAsia" w:ascii="宋体" w:hAnsi="宋体"/>
          <w:b/>
          <w:bCs/>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 xml:space="preserve">2020年03月10日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供销部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远程视频</w:t>
      </w:r>
      <w:r>
        <w:rPr>
          <w:rFonts w:hint="eastAsia" w:eastAsia="隶书"/>
          <w:color w:val="000000"/>
          <w:sz w:val="32"/>
          <w:szCs w:val="32"/>
        </w:rPr>
        <w:t>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w:t>
      </w:r>
      <w:bookmarkStart w:id="17" w:name="_GoBack"/>
      <w:bookmarkEnd w:id="17"/>
      <w:r>
        <w:rPr>
          <w:rFonts w:hint="eastAsia" w:eastAsia="隶书"/>
          <w:color w:val="000000"/>
          <w:sz w:val="28"/>
          <w:szCs w:val="28"/>
        </w:rPr>
        <w:t>：绵阳市鑫隆化工有限公司</w:t>
      </w:r>
    </w:p>
    <w:tbl>
      <w:tblPr>
        <w:tblStyle w:val="6"/>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default" w:ascii="宋体"/>
                <w:color w:val="000000"/>
                <w:sz w:val="24"/>
                <w:szCs w:val="24"/>
                <w:lang w:val="en-US" w:eastAsia="zh-CN"/>
              </w:rPr>
            </w:pP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eastAsia" w:ascii="宋体"/>
                <w:color w:val="000000"/>
                <w:sz w:val="24"/>
                <w:szCs w:val="24"/>
                <w:lang w:val="en-US" w:eastAsia="zh-CN"/>
              </w:rPr>
            </w:pPr>
          </w:p>
          <w:p>
            <w:pPr>
              <w:pStyle w:val="4"/>
              <w:pBdr>
                <w:bottom w:val="none" w:color="auto" w:sz="0" w:space="0"/>
              </w:pBdr>
              <w:ind w:right="600"/>
              <w:jc w:val="left"/>
              <w:rPr>
                <w:rFonts w:hint="default" w:ascii="宋体"/>
                <w:color w:val="000000"/>
                <w:sz w:val="24"/>
                <w:szCs w:val="24"/>
                <w:lang w:val="en-US" w:eastAsia="zh-CN"/>
              </w:rPr>
            </w:pPr>
          </w:p>
        </w:tc>
        <w:tc>
          <w:tcPr>
            <w:tcW w:w="5681" w:type="dxa"/>
          </w:tcPr>
          <w:p>
            <w:pPr>
              <w:pStyle w:val="4"/>
              <w:pBdr>
                <w:bottom w:val="none" w:color="auto" w:sz="0" w:space="0"/>
              </w:pBdr>
              <w:tabs>
                <w:tab w:val="center" w:pos="5737"/>
                <w:tab w:val="clear" w:pos="4153"/>
              </w:tabs>
              <w:ind w:firstLine="442" w:firstLineChars="200"/>
              <w:jc w:val="left"/>
              <w:rPr>
                <w:rFonts w:hint="eastAsia" w:ascii="Times New Roman" w:hAnsi="Times New Roman" w:eastAsia="宋体" w:cs="Times New Roman"/>
                <w:b/>
                <w:bCs/>
                <w:color w:val="000000"/>
                <w:kern w:val="2"/>
                <w:sz w:val="22"/>
                <w:szCs w:val="22"/>
                <w:lang w:val="en-US" w:eastAsia="zh-CN" w:bidi="ar-SA"/>
              </w:rPr>
            </w:pPr>
          </w:p>
          <w:p>
            <w:pPr>
              <w:pStyle w:val="4"/>
              <w:pBdr>
                <w:bottom w:val="none" w:color="auto" w:sz="0" w:space="0"/>
              </w:pBdr>
              <w:tabs>
                <w:tab w:val="center" w:pos="5737"/>
                <w:tab w:val="clear" w:pos="4153"/>
              </w:tabs>
              <w:ind w:firstLine="442" w:firstLineChars="200"/>
              <w:jc w:val="left"/>
              <w:rPr>
                <w:rFonts w:hint="eastAsia" w:ascii="Times New Roman" w:hAnsi="Times New Roman" w:eastAsia="宋体" w:cs="Times New Roman"/>
                <w:b/>
                <w:bCs/>
                <w:color w:val="000000"/>
                <w:kern w:val="2"/>
                <w:sz w:val="22"/>
                <w:szCs w:val="22"/>
                <w:lang w:val="en-US" w:eastAsia="zh-CN" w:bidi="ar-SA"/>
              </w:rPr>
            </w:pPr>
            <w:r>
              <w:rPr>
                <w:rFonts w:hint="eastAsia" w:ascii="Times New Roman" w:hAnsi="Times New Roman" w:cs="Times New Roman"/>
                <w:b/>
                <w:bCs/>
                <w:color w:val="000000"/>
                <w:kern w:val="2"/>
                <w:sz w:val="22"/>
                <w:szCs w:val="22"/>
                <w:lang w:val="en-US" w:eastAsia="zh-CN" w:bidi="ar-SA"/>
              </w:rPr>
              <w:t>一阶段远程审核</w:t>
            </w:r>
            <w:r>
              <w:rPr>
                <w:rFonts w:hint="eastAsia" w:ascii="Times New Roman" w:hAnsi="Times New Roman" w:eastAsia="宋体" w:cs="Times New Roman"/>
                <w:b/>
                <w:bCs/>
                <w:color w:val="000000"/>
                <w:kern w:val="2"/>
                <w:sz w:val="22"/>
                <w:szCs w:val="22"/>
                <w:lang w:val="en-US" w:eastAsia="zh-CN" w:bidi="ar-SA"/>
              </w:rPr>
              <w:t>无</w:t>
            </w:r>
            <w:r>
              <w:rPr>
                <w:rFonts w:hint="eastAsia" w:ascii="Times New Roman" w:hAnsi="Times New Roman" w:cs="Times New Roman"/>
                <w:b/>
                <w:bCs/>
                <w:color w:val="000000"/>
                <w:kern w:val="2"/>
                <w:sz w:val="22"/>
                <w:szCs w:val="22"/>
                <w:lang w:val="en-US" w:eastAsia="zh-CN" w:bidi="ar-SA"/>
              </w:rPr>
              <w:t>需整改问题</w:t>
            </w:r>
          </w:p>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p>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p>
        </w:tc>
        <w:tc>
          <w:tcPr>
            <w:tcW w:w="1905" w:type="dxa"/>
          </w:tcPr>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default" w:ascii="宋体" w:hAnsi="宋体" w:cs="宋体"/>
                <w:color w:val="0000FF"/>
                <w:sz w:val="21"/>
                <w:szCs w:val="21"/>
                <w:lang w:val="en-US" w:eastAsia="zh-CN"/>
              </w:rPr>
            </w:pPr>
          </w:p>
        </w:tc>
        <w:tc>
          <w:tcPr>
            <w:tcW w:w="1800" w:type="dxa"/>
          </w:tcPr>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4"/>
              <w:pBdr>
                <w:bottom w:val="none" w:color="auto" w:sz="0" w:space="0"/>
              </w:pBdr>
              <w:tabs>
                <w:tab w:val="center" w:pos="5737"/>
                <w:tab w:val="clear" w:pos="4153"/>
              </w:tabs>
              <w:ind w:firstLine="420" w:firstLineChars="200"/>
              <w:jc w:val="left"/>
              <w:rPr>
                <w:rFonts w:hint="default" w:ascii="宋体" w:hAnsi="宋体" w:cs="宋体"/>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9504" behindDoc="0" locked="0" layoutInCell="1" allowOverlap="1">
                  <wp:simplePos x="0" y="0"/>
                  <wp:positionH relativeFrom="column">
                    <wp:posOffset>612140</wp:posOffset>
                  </wp:positionH>
                  <wp:positionV relativeFrom="paragraph">
                    <wp:posOffset>144780</wp:posOffset>
                  </wp:positionV>
                  <wp:extent cx="523240" cy="396240"/>
                  <wp:effectExtent l="0" t="0" r="1016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523240" cy="396240"/>
                          </a:xfrm>
                          <a:prstGeom prst="rect">
                            <a:avLst/>
                          </a:prstGeom>
                          <a:noFill/>
                          <a:ln w="9525">
                            <a:noFill/>
                            <a:miter lim="800000"/>
                            <a:headEnd/>
                            <a:tailEnd/>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4196" w:firstLineChars="1900"/>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rPr>
              <w:t xml:space="preserve">2020年03月10日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eastAsia="zh-CN"/>
              </w:rPr>
              <w:t>签字</w:t>
            </w:r>
            <w:r>
              <w:rPr>
                <w:rFonts w:hint="eastAsia"/>
                <w:b/>
                <w:color w:val="000000"/>
                <w:sz w:val="22"/>
                <w:szCs w:val="22"/>
              </w:rPr>
              <w:t>：</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rPr>
              <w:t xml:space="preserve">2020年03月10日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66BD6790"/>
    <w:multiLevelType w:val="singleLevel"/>
    <w:tmpl w:val="66BD679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14938F0"/>
    <w:rsid w:val="01656CC4"/>
    <w:rsid w:val="03A83FA1"/>
    <w:rsid w:val="0B1F24B2"/>
    <w:rsid w:val="0C8275B4"/>
    <w:rsid w:val="0D26506B"/>
    <w:rsid w:val="0D2F36FA"/>
    <w:rsid w:val="0DEB1248"/>
    <w:rsid w:val="0F256DF2"/>
    <w:rsid w:val="0F6755B5"/>
    <w:rsid w:val="0FAC7CF2"/>
    <w:rsid w:val="13905027"/>
    <w:rsid w:val="19290184"/>
    <w:rsid w:val="1B7C5D4F"/>
    <w:rsid w:val="1CB91E8D"/>
    <w:rsid w:val="1DB65754"/>
    <w:rsid w:val="1E9E0F00"/>
    <w:rsid w:val="201C41F5"/>
    <w:rsid w:val="21912F89"/>
    <w:rsid w:val="247B575F"/>
    <w:rsid w:val="2AF40DDA"/>
    <w:rsid w:val="2AF555A2"/>
    <w:rsid w:val="307C7F54"/>
    <w:rsid w:val="30813B68"/>
    <w:rsid w:val="3D333694"/>
    <w:rsid w:val="3F2266C8"/>
    <w:rsid w:val="41CA360A"/>
    <w:rsid w:val="42317FF1"/>
    <w:rsid w:val="44153258"/>
    <w:rsid w:val="46F219BF"/>
    <w:rsid w:val="49916B26"/>
    <w:rsid w:val="4AC10456"/>
    <w:rsid w:val="4BA85A03"/>
    <w:rsid w:val="4E7F1263"/>
    <w:rsid w:val="4F163653"/>
    <w:rsid w:val="533A3EED"/>
    <w:rsid w:val="53535CF4"/>
    <w:rsid w:val="5C1C5C3E"/>
    <w:rsid w:val="5CC237FA"/>
    <w:rsid w:val="5DEE6D1B"/>
    <w:rsid w:val="5F8D3C9B"/>
    <w:rsid w:val="5FE6444C"/>
    <w:rsid w:val="62D838CB"/>
    <w:rsid w:val="640B1E0C"/>
    <w:rsid w:val="647F5BA5"/>
    <w:rsid w:val="656206D1"/>
    <w:rsid w:val="6AF45348"/>
    <w:rsid w:val="6BBB1423"/>
    <w:rsid w:val="6BF216D2"/>
    <w:rsid w:val="6C3949E6"/>
    <w:rsid w:val="6C4E4063"/>
    <w:rsid w:val="6C8B60DE"/>
    <w:rsid w:val="6CB121D3"/>
    <w:rsid w:val="6D80778B"/>
    <w:rsid w:val="701F7C21"/>
    <w:rsid w:val="74E06A6A"/>
    <w:rsid w:val="75211277"/>
    <w:rsid w:val="768934B1"/>
    <w:rsid w:val="772A727E"/>
    <w:rsid w:val="79DA1997"/>
    <w:rsid w:val="79F9314D"/>
    <w:rsid w:val="7B48571D"/>
    <w:rsid w:val="7B756E70"/>
    <w:rsid w:val="7CC77F18"/>
    <w:rsid w:val="7D964F66"/>
    <w:rsid w:val="7DB60024"/>
    <w:rsid w:val="7DDF7E2C"/>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0">
    <w:name w:val="页脚 Char"/>
    <w:basedOn w:val="8"/>
    <w:link w:val="3"/>
    <w:qFormat/>
    <w:locked/>
    <w:uiPriority w:val="99"/>
    <w:rPr>
      <w:rFonts w:ascii="Times New Roman" w:hAnsi="Times New Roman" w:eastAsia="宋体" w:cs="Times New Roman"/>
      <w:sz w:val="18"/>
      <w:szCs w:val="18"/>
    </w:rPr>
  </w:style>
  <w:style w:type="character" w:customStyle="1" w:styleId="11">
    <w:name w:val="页眉 Char"/>
    <w:basedOn w:val="8"/>
    <w:link w:val="4"/>
    <w:qFormat/>
    <w:locked/>
    <w:uiPriority w:val="99"/>
    <w:rPr>
      <w:rFonts w:ascii="Calibri" w:hAnsi="Calibri" w:eastAsia="宋体" w:cs="Times New Roman"/>
      <w:sz w:val="18"/>
      <w:szCs w:val="18"/>
    </w:rPr>
  </w:style>
  <w:style w:type="character" w:customStyle="1" w:styleId="12">
    <w:name w:val="副标题 Char"/>
    <w:basedOn w:val="8"/>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1313</Words>
  <Characters>7487</Characters>
  <Lines>62</Lines>
  <Paragraphs>17</Paragraphs>
  <TotalTime>0</TotalTime>
  <ScaleCrop>false</ScaleCrop>
  <LinksUpToDate>false</LinksUpToDate>
  <CharactersWithSpaces>8783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2020-03-21T03:16:41Z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