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20347-2023-QEO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营金尧商贸有限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2064353331U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东营金尧商贸有限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山东省东营市东营区北一路1076号53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山东省东营市东营区北一路1076号537室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Q：橡胶制品（不含医用），五金建材，化工产品（不含危险品及易制毒化学品），机电设备（不含九座以下乘用车），保温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橡胶制品（不含医用），五金建材，化工产品（不含危险品及易制毒化学品），机电设备（不含九座以下乘用车），保温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橡胶制品（不含医用），五金建材，化工产品（不含危险品及易制毒化学品），机电设备（不含九座以下乘用车），保温材料的销售所涉及场所的相关职业健康安全管理活动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东营金尧商贸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山东省东营市东营区北一路1076号53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山东省东营市东营区北一路1076号537室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Q：橡胶制品（不含医用），五金建材，化工产品（不含危险品及易制毒化学品），机电设备（不含九座以下乘用车），保温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橡胶制品（不含医用），五金建材，化工产品（不含危险品及易制毒化学品），机电设备（不含九座以下乘用车），保温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橡胶制品（不含医用），五金建材，化工产品（不含危险品及易制毒化学品），机电设备（不含九座以下乘用车），保温材料的销售所涉及场所的相关职业健康安全管理活动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