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江西蒸臻餐饮管理有限公司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肖新龙</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F:审核员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H:审核员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2020-N1QMS-1232380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2021-N1EMS-1232380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2021-N1OHSMS-1232380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2020-N1FSMS-1232380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2020-N1HACCP-1232380</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Q:30.05.00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E:30.05.00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O:30.05.00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F:E</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任泽华</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F:审核员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H:审核员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2022-N1QMS-4059498</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2021-N1EMS-3059498</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2023-N1OHSMS-1059498</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2020-N1FSMS-3059498</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2022-N1HACCP-1059498</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Q:30.05.00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E:30.05.00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O:30.05.00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F:E</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2023年05月05日 上午至2023年05月05日 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江西省南昌市西湖区水厂路222号紫瑶小区沿街6号店铺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江西省南昌市红谷滩新区庐山南大道159号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2023年05月06日 下午至2023年05月09日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