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冀高电力器材开发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河北冀高电力器材开发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