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浙江鼎浩电气有限公司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预制光缆、预制电缆（预制连接线）的生产所涉及的能源管理活动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