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20348-2023-EO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安平县鸿晖纺织金属制品有限公司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温红玲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91131125672053244N</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E:5,O:5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安平县鸿晖纺织金属制品有限公司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E：钢格板（钢格栅）和护栏网的生产所涉及的相关环境管理活动</w:t>
            </w:r>
          </w:p>
          <w:p w:rsidR="001A196B">
            <w:pPr>
              <w:snapToGrid w:val="0"/>
              <w:spacing w:line="0" w:lineRule="atLeast"/>
              <w:jc w:val="left"/>
              <w:rPr>
                <w:sz w:val="22"/>
                <w:szCs w:val="22"/>
              </w:rPr>
            </w:pPr>
            <w:r>
              <w:rPr>
                <w:sz w:val="22"/>
                <w:szCs w:val="22"/>
              </w:rPr>
              <w:t>O：钢格板（钢格栅）和护栏网的生产所涉及场所的职业健康安全管理活动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安平县安平镇新政村东南角20米处</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安平县南张沃村北500米</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安平县鸿晖纺织金属制品有限公司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安平县南张沃村北500米</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