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受审核方：江苏新图土地规划设计咨询有限公司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688"/>
        <w:gridCol w:w="92"/>
        <w:gridCol w:w="840"/>
        <w:gridCol w:w="1120"/>
        <w:gridCol w:w="2570"/>
        <w:gridCol w:w="1189"/>
        <w:gridCol w:w="850"/>
        <w:gridCol w:w="141"/>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1" w:type="dxa"/>
            <w:vAlign w:val="center"/>
          </w:tcPr>
          <w:p>
            <w:pPr>
              <w:jc w:val="center"/>
              <w:rPr>
                <w:b/>
                <w:sz w:val="21"/>
                <w:szCs w:val="21"/>
              </w:rPr>
            </w:pPr>
            <w:r>
              <w:rPr>
                <w:rFonts w:hint="eastAsia"/>
                <w:b/>
                <w:sz w:val="21"/>
                <w:szCs w:val="21"/>
              </w:rPr>
              <w:t>姓名</w:t>
            </w:r>
          </w:p>
        </w:tc>
        <w:tc>
          <w:tcPr>
            <w:tcW w:w="780" w:type="dxa"/>
            <w:gridSpan w:val="2"/>
            <w:vAlign w:val="center"/>
          </w:tcPr>
          <w:p>
            <w:pPr>
              <w:jc w:val="center"/>
              <w:rPr>
                <w:b/>
                <w:sz w:val="21"/>
                <w:szCs w:val="21"/>
              </w:rPr>
            </w:pPr>
            <w:r>
              <w:rPr>
                <w:rFonts w:hint="eastAsia"/>
                <w:b/>
                <w:sz w:val="21"/>
                <w:szCs w:val="21"/>
              </w:rPr>
              <w:t>性别</w:t>
            </w:r>
          </w:p>
        </w:tc>
        <w:tc>
          <w:tcPr>
            <w:tcW w:w="840" w:type="dxa"/>
            <w:vAlign w:val="center"/>
          </w:tcPr>
          <w:p>
            <w:pPr>
              <w:jc w:val="center"/>
              <w:rPr>
                <w:b/>
                <w:sz w:val="21"/>
                <w:szCs w:val="21"/>
              </w:rPr>
            </w:pPr>
            <w:r>
              <w:rPr>
                <w:rFonts w:hint="eastAsia"/>
                <w:b/>
                <w:sz w:val="21"/>
                <w:szCs w:val="21"/>
              </w:rPr>
              <w:t>职务</w:t>
            </w:r>
          </w:p>
        </w:tc>
        <w:tc>
          <w:tcPr>
            <w:tcW w:w="1120" w:type="dxa"/>
            <w:vAlign w:val="center"/>
          </w:tcPr>
          <w:p>
            <w:pPr>
              <w:jc w:val="center"/>
              <w:rPr>
                <w:b/>
                <w:sz w:val="21"/>
                <w:szCs w:val="21"/>
              </w:rPr>
            </w:pPr>
            <w:r>
              <w:rPr>
                <w:rFonts w:hint="eastAsia"/>
                <w:b/>
                <w:sz w:val="21"/>
                <w:szCs w:val="21"/>
              </w:rPr>
              <w:t>注册级别</w:t>
            </w:r>
          </w:p>
        </w:tc>
        <w:tc>
          <w:tcPr>
            <w:tcW w:w="2570" w:type="dxa"/>
            <w:vAlign w:val="center"/>
          </w:tcPr>
          <w:p>
            <w:pPr>
              <w:jc w:val="center"/>
              <w:rPr>
                <w:b/>
                <w:sz w:val="21"/>
                <w:szCs w:val="21"/>
              </w:rPr>
            </w:pPr>
            <w:r>
              <w:rPr>
                <w:rFonts w:hint="eastAsia"/>
                <w:b/>
                <w:sz w:val="21"/>
                <w:szCs w:val="21"/>
              </w:rPr>
              <w:t>审核员注册号</w:t>
            </w:r>
          </w:p>
        </w:tc>
        <w:tc>
          <w:tcPr>
            <w:tcW w:w="2180" w:type="dxa"/>
            <w:gridSpan w:val="3"/>
            <w:vAlign w:val="center"/>
          </w:tcPr>
          <w:p>
            <w:pPr>
              <w:jc w:val="center"/>
              <w:rPr>
                <w:b/>
                <w:sz w:val="21"/>
                <w:szCs w:val="21"/>
              </w:rPr>
            </w:pPr>
            <w:r>
              <w:rPr>
                <w:rFonts w:hint="eastAsia"/>
                <w:b/>
                <w:sz w:val="21"/>
                <w:szCs w:val="21"/>
              </w:rPr>
              <w:t>专业代码</w:t>
            </w:r>
          </w:p>
        </w:tc>
        <w:tc>
          <w:tcPr>
            <w:tcW w:w="147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1" w:type="dxa"/>
            <w:vAlign w:val="center"/>
          </w:tcPr>
          <w:p>
            <w:pPr>
              <w:jc w:val="center"/>
              <w:rPr>
                <w:b/>
                <w:sz w:val="21"/>
                <w:szCs w:val="21"/>
              </w:rPr>
            </w:pPr>
            <w:r>
              <w:rPr>
                <w:b/>
                <w:sz w:val="21"/>
                <w:szCs w:val="21"/>
              </w:rPr>
              <w:t>李俐</w:t>
            </w:r>
          </w:p>
        </w:tc>
        <w:tc>
          <w:tcPr>
            <w:tcW w:w="780" w:type="dxa"/>
            <w:gridSpan w:val="2"/>
            <w:vAlign w:val="center"/>
          </w:tcPr>
          <w:p>
            <w:pPr>
              <w:jc w:val="center"/>
              <w:rPr>
                <w:b/>
                <w:sz w:val="21"/>
                <w:szCs w:val="21"/>
              </w:rPr>
            </w:pPr>
            <w:r>
              <w:rPr>
                <w:b/>
                <w:sz w:val="21"/>
                <w:szCs w:val="21"/>
              </w:rPr>
              <w:t>女</w:t>
            </w:r>
          </w:p>
        </w:tc>
        <w:tc>
          <w:tcPr>
            <w:tcW w:w="840" w:type="dxa"/>
            <w:vAlign w:val="center"/>
          </w:tcPr>
          <w:p>
            <w:pPr>
              <w:jc w:val="center"/>
              <w:rPr>
                <w:b/>
                <w:sz w:val="21"/>
                <w:szCs w:val="21"/>
              </w:rPr>
            </w:pPr>
            <w:r>
              <w:rPr>
                <w:b/>
                <w:sz w:val="21"/>
                <w:szCs w:val="21"/>
              </w:rPr>
              <w:t>组长</w:t>
            </w:r>
          </w:p>
        </w:tc>
        <w:tc>
          <w:tcPr>
            <w:tcW w:w="112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70" w:type="dxa"/>
            <w:vAlign w:val="center"/>
          </w:tcPr>
          <w:p>
            <w:pPr>
              <w:jc w:val="center"/>
              <w:rPr>
                <w:b/>
                <w:sz w:val="21"/>
                <w:szCs w:val="21"/>
              </w:rPr>
            </w:pPr>
            <w:r>
              <w:rPr>
                <w:b/>
                <w:sz w:val="21"/>
                <w:szCs w:val="21"/>
              </w:rPr>
              <w:t>2018-N1QMS-1222792</w:t>
            </w:r>
          </w:p>
          <w:p>
            <w:pPr>
              <w:jc w:val="center"/>
              <w:rPr>
                <w:b/>
                <w:sz w:val="21"/>
                <w:szCs w:val="21"/>
              </w:rPr>
            </w:pPr>
            <w:r>
              <w:rPr>
                <w:b/>
                <w:sz w:val="21"/>
                <w:szCs w:val="21"/>
              </w:rPr>
              <w:t>2018-N1EMS-1222792</w:t>
            </w:r>
          </w:p>
          <w:p>
            <w:pPr>
              <w:jc w:val="center"/>
              <w:rPr>
                <w:b/>
                <w:sz w:val="21"/>
                <w:szCs w:val="21"/>
              </w:rPr>
            </w:pPr>
            <w:r>
              <w:rPr>
                <w:b/>
                <w:sz w:val="21"/>
                <w:szCs w:val="21"/>
              </w:rPr>
              <w:t>2018-N1OHSMS-1222792</w:t>
            </w:r>
          </w:p>
        </w:tc>
        <w:tc>
          <w:tcPr>
            <w:tcW w:w="2180" w:type="dxa"/>
            <w:gridSpan w:val="3"/>
            <w:vAlign w:val="center"/>
          </w:tcPr>
          <w:p>
            <w:pPr>
              <w:jc w:val="center"/>
              <w:rPr>
                <w:b/>
                <w:sz w:val="21"/>
                <w:szCs w:val="21"/>
              </w:rPr>
            </w:pPr>
            <w:r>
              <w:rPr>
                <w:b/>
                <w:sz w:val="21"/>
                <w:szCs w:val="21"/>
              </w:rPr>
              <w:t>Q:33.02.01,34.06.00</w:t>
            </w:r>
          </w:p>
          <w:p>
            <w:pPr>
              <w:jc w:val="center"/>
              <w:rPr>
                <w:b/>
                <w:sz w:val="21"/>
                <w:szCs w:val="21"/>
              </w:rPr>
            </w:pPr>
            <w:r>
              <w:rPr>
                <w:b/>
                <w:sz w:val="21"/>
                <w:szCs w:val="21"/>
              </w:rPr>
              <w:t>E:33.02.01,34.06.00</w:t>
            </w:r>
          </w:p>
          <w:p>
            <w:pPr>
              <w:jc w:val="center"/>
              <w:rPr>
                <w:b/>
                <w:sz w:val="21"/>
                <w:szCs w:val="21"/>
              </w:rPr>
            </w:pPr>
            <w:r>
              <w:rPr>
                <w:b/>
                <w:sz w:val="21"/>
                <w:szCs w:val="21"/>
              </w:rPr>
              <w:t>O:33.02.01,34.06.00</w:t>
            </w:r>
          </w:p>
        </w:tc>
        <w:tc>
          <w:tcPr>
            <w:tcW w:w="1473" w:type="dxa"/>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1" w:type="dxa"/>
            <w:vAlign w:val="center"/>
          </w:tcPr>
          <w:p>
            <w:pPr>
              <w:jc w:val="center"/>
              <w:rPr>
                <w:b/>
                <w:sz w:val="21"/>
                <w:szCs w:val="21"/>
              </w:rPr>
            </w:pPr>
            <w:r>
              <w:rPr>
                <w:b/>
                <w:sz w:val="21"/>
                <w:szCs w:val="21"/>
              </w:rPr>
              <w:t>陈延国</w:t>
            </w:r>
          </w:p>
        </w:tc>
        <w:tc>
          <w:tcPr>
            <w:tcW w:w="780" w:type="dxa"/>
            <w:gridSpan w:val="2"/>
            <w:vAlign w:val="center"/>
          </w:tcPr>
          <w:p>
            <w:pPr>
              <w:jc w:val="center"/>
              <w:rPr>
                <w:b/>
                <w:sz w:val="21"/>
                <w:szCs w:val="21"/>
              </w:rPr>
            </w:pPr>
            <w:r>
              <w:rPr>
                <w:b/>
                <w:sz w:val="21"/>
                <w:szCs w:val="21"/>
              </w:rPr>
              <w:t>男</w:t>
            </w:r>
          </w:p>
        </w:tc>
        <w:tc>
          <w:tcPr>
            <w:tcW w:w="840" w:type="dxa"/>
            <w:vAlign w:val="center"/>
          </w:tcPr>
          <w:p>
            <w:pPr>
              <w:jc w:val="center"/>
              <w:rPr>
                <w:b/>
                <w:sz w:val="21"/>
                <w:szCs w:val="21"/>
              </w:rPr>
            </w:pPr>
            <w:r>
              <w:rPr>
                <w:b/>
                <w:sz w:val="21"/>
                <w:szCs w:val="21"/>
              </w:rPr>
              <w:t>组员</w:t>
            </w:r>
          </w:p>
        </w:tc>
        <w:tc>
          <w:tcPr>
            <w:tcW w:w="1120" w:type="dxa"/>
            <w:vAlign w:val="center"/>
          </w:tcPr>
          <w:p>
            <w:pPr>
              <w:jc w:val="center"/>
              <w:rPr>
                <w:b/>
                <w:sz w:val="21"/>
                <w:szCs w:val="21"/>
              </w:rPr>
            </w:pPr>
            <w:r>
              <w:rPr>
                <w:b/>
                <w:sz w:val="21"/>
                <w:szCs w:val="21"/>
              </w:rPr>
              <w:t>Q:专家</w:t>
            </w:r>
          </w:p>
          <w:p>
            <w:pPr>
              <w:jc w:val="center"/>
              <w:rPr>
                <w:b/>
                <w:sz w:val="21"/>
                <w:szCs w:val="21"/>
              </w:rPr>
            </w:pPr>
          </w:p>
        </w:tc>
        <w:tc>
          <w:tcPr>
            <w:tcW w:w="2570" w:type="dxa"/>
            <w:vAlign w:val="center"/>
          </w:tcPr>
          <w:p>
            <w:pPr>
              <w:jc w:val="center"/>
              <w:rPr>
                <w:b/>
                <w:sz w:val="21"/>
                <w:szCs w:val="21"/>
              </w:rPr>
            </w:pPr>
            <w:r>
              <w:rPr>
                <w:b/>
                <w:sz w:val="21"/>
                <w:szCs w:val="21"/>
              </w:rPr>
              <w:t>江苏源达土地房地产评估咨询有限公司</w:t>
            </w:r>
          </w:p>
        </w:tc>
        <w:tc>
          <w:tcPr>
            <w:tcW w:w="2180" w:type="dxa"/>
            <w:gridSpan w:val="3"/>
            <w:vAlign w:val="center"/>
          </w:tcPr>
          <w:p>
            <w:pPr>
              <w:jc w:val="center"/>
              <w:rPr>
                <w:b/>
                <w:sz w:val="21"/>
                <w:szCs w:val="21"/>
              </w:rPr>
            </w:pPr>
            <w:r>
              <w:rPr>
                <w:b/>
                <w:sz w:val="21"/>
                <w:szCs w:val="21"/>
              </w:rPr>
              <w:t>Q:34.01.01,34.01.02</w:t>
            </w:r>
          </w:p>
        </w:tc>
        <w:tc>
          <w:tcPr>
            <w:tcW w:w="1473" w:type="dxa"/>
            <w:vAlign w:val="center"/>
          </w:tcPr>
          <w:p>
            <w:pPr>
              <w:jc w:val="center"/>
              <w:rPr>
                <w:b/>
                <w:sz w:val="21"/>
                <w:szCs w:val="21"/>
              </w:rPr>
            </w:pPr>
            <w:r>
              <w:rPr>
                <w:b/>
                <w:sz w:val="21"/>
                <w:szCs w:val="21"/>
              </w:rPr>
              <w:t>ISC-JSZJ-111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1" w:type="dxa"/>
          </w:tcPr>
          <w:p>
            <w:pPr>
              <w:rPr>
                <w:b/>
                <w:sz w:val="21"/>
                <w:szCs w:val="21"/>
              </w:rPr>
            </w:pPr>
          </w:p>
        </w:tc>
        <w:tc>
          <w:tcPr>
            <w:tcW w:w="780" w:type="dxa"/>
            <w:gridSpan w:val="2"/>
          </w:tcPr>
          <w:p>
            <w:pPr>
              <w:rPr>
                <w:b/>
                <w:sz w:val="21"/>
                <w:szCs w:val="21"/>
              </w:rPr>
            </w:pPr>
          </w:p>
        </w:tc>
        <w:tc>
          <w:tcPr>
            <w:tcW w:w="840" w:type="dxa"/>
          </w:tcPr>
          <w:p>
            <w:pPr>
              <w:rPr>
                <w:b/>
                <w:sz w:val="21"/>
                <w:szCs w:val="21"/>
              </w:rPr>
            </w:pPr>
          </w:p>
        </w:tc>
        <w:tc>
          <w:tcPr>
            <w:tcW w:w="1120" w:type="dxa"/>
          </w:tcPr>
          <w:p>
            <w:pPr>
              <w:rPr>
                <w:b/>
                <w:sz w:val="21"/>
                <w:szCs w:val="21"/>
              </w:rPr>
            </w:pPr>
          </w:p>
        </w:tc>
        <w:tc>
          <w:tcPr>
            <w:tcW w:w="2570" w:type="dxa"/>
          </w:tcPr>
          <w:p>
            <w:pPr>
              <w:rPr>
                <w:b/>
                <w:sz w:val="21"/>
                <w:szCs w:val="21"/>
              </w:rPr>
            </w:pPr>
          </w:p>
        </w:tc>
        <w:tc>
          <w:tcPr>
            <w:tcW w:w="2180" w:type="dxa"/>
            <w:gridSpan w:val="3"/>
          </w:tcPr>
          <w:p>
            <w:pPr>
              <w:rPr>
                <w:b/>
                <w:sz w:val="21"/>
                <w:szCs w:val="21"/>
              </w:rPr>
            </w:pPr>
          </w:p>
        </w:tc>
        <w:tc>
          <w:tcPr>
            <w:tcW w:w="147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1" w:type="dxa"/>
            <w:vAlign w:val="center"/>
          </w:tcPr>
          <w:p>
            <w:pPr>
              <w:jc w:val="center"/>
              <w:rPr>
                <w:b/>
                <w:sz w:val="21"/>
                <w:szCs w:val="21"/>
              </w:rPr>
            </w:pPr>
            <w:r>
              <w:rPr>
                <w:rFonts w:hint="eastAsia"/>
                <w:b/>
                <w:sz w:val="21"/>
                <w:szCs w:val="21"/>
              </w:rPr>
              <w:t>姓名</w:t>
            </w:r>
          </w:p>
        </w:tc>
        <w:tc>
          <w:tcPr>
            <w:tcW w:w="780" w:type="dxa"/>
            <w:gridSpan w:val="2"/>
            <w:vAlign w:val="center"/>
          </w:tcPr>
          <w:p>
            <w:pPr>
              <w:jc w:val="center"/>
              <w:rPr>
                <w:b/>
                <w:sz w:val="21"/>
                <w:szCs w:val="21"/>
              </w:rPr>
            </w:pPr>
            <w:r>
              <w:rPr>
                <w:rFonts w:hint="eastAsia"/>
                <w:b/>
                <w:sz w:val="21"/>
                <w:szCs w:val="21"/>
              </w:rPr>
              <w:t>性别</w:t>
            </w:r>
          </w:p>
        </w:tc>
        <w:tc>
          <w:tcPr>
            <w:tcW w:w="840" w:type="dxa"/>
            <w:vAlign w:val="center"/>
          </w:tcPr>
          <w:p>
            <w:pPr>
              <w:jc w:val="center"/>
              <w:rPr>
                <w:b/>
                <w:sz w:val="21"/>
                <w:szCs w:val="21"/>
              </w:rPr>
            </w:pPr>
            <w:r>
              <w:rPr>
                <w:rFonts w:hint="eastAsia"/>
                <w:b/>
                <w:sz w:val="21"/>
                <w:szCs w:val="21"/>
              </w:rPr>
              <w:t>角色</w:t>
            </w:r>
          </w:p>
        </w:tc>
        <w:tc>
          <w:tcPr>
            <w:tcW w:w="734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1" w:type="dxa"/>
            <w:vAlign w:val="center"/>
          </w:tcPr>
          <w:p>
            <w:pPr>
              <w:jc w:val="center"/>
              <w:rPr>
                <w:b/>
                <w:sz w:val="21"/>
                <w:szCs w:val="21"/>
              </w:rPr>
            </w:pPr>
          </w:p>
        </w:tc>
        <w:tc>
          <w:tcPr>
            <w:tcW w:w="780" w:type="dxa"/>
            <w:gridSpan w:val="2"/>
            <w:vAlign w:val="center"/>
          </w:tcPr>
          <w:p>
            <w:pPr>
              <w:jc w:val="center"/>
              <w:rPr>
                <w:b/>
                <w:sz w:val="21"/>
                <w:szCs w:val="21"/>
              </w:rPr>
            </w:pPr>
          </w:p>
        </w:tc>
        <w:tc>
          <w:tcPr>
            <w:tcW w:w="840" w:type="dxa"/>
            <w:vAlign w:val="center"/>
          </w:tcPr>
          <w:p>
            <w:pPr>
              <w:jc w:val="center"/>
              <w:rPr>
                <w:b/>
                <w:sz w:val="21"/>
                <w:szCs w:val="21"/>
              </w:rPr>
            </w:pPr>
          </w:p>
        </w:tc>
        <w:tc>
          <w:tcPr>
            <w:tcW w:w="734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1" w:type="dxa"/>
            <w:vAlign w:val="center"/>
          </w:tcPr>
          <w:p>
            <w:pPr>
              <w:jc w:val="center"/>
              <w:rPr>
                <w:b/>
              </w:rPr>
            </w:pPr>
          </w:p>
        </w:tc>
        <w:tc>
          <w:tcPr>
            <w:tcW w:w="780" w:type="dxa"/>
            <w:gridSpan w:val="2"/>
            <w:vAlign w:val="center"/>
          </w:tcPr>
          <w:p>
            <w:pPr>
              <w:jc w:val="center"/>
              <w:rPr>
                <w:b/>
              </w:rPr>
            </w:pPr>
          </w:p>
        </w:tc>
        <w:tc>
          <w:tcPr>
            <w:tcW w:w="840" w:type="dxa"/>
            <w:vAlign w:val="center"/>
          </w:tcPr>
          <w:p>
            <w:pPr>
              <w:jc w:val="center"/>
              <w:rPr>
                <w:b/>
              </w:rPr>
            </w:pPr>
          </w:p>
        </w:tc>
        <w:tc>
          <w:tcPr>
            <w:tcW w:w="734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90"/>
        <w:gridCol w:w="2780"/>
        <w:gridCol w:w="1060"/>
        <w:gridCol w:w="2010"/>
        <w:gridCol w:w="126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575"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5850" w:type="dxa"/>
            <w:gridSpan w:val="3"/>
            <w:vAlign w:val="center"/>
          </w:tcPr>
          <w:p>
            <w:pPr>
              <w:spacing w:line="260" w:lineRule="exact"/>
              <w:jc w:val="center"/>
              <w:rPr>
                <w:rFonts w:ascii="宋体"/>
                <w:b/>
                <w:color w:val="FF0000"/>
                <w:sz w:val="21"/>
              </w:rPr>
            </w:pPr>
            <w:bookmarkStart w:id="9" w:name="组织名称Add"/>
            <w:r>
              <w:rPr>
                <w:rFonts w:hint="eastAsia" w:ascii="宋体" w:hAnsi="宋体"/>
                <w:b/>
                <w:sz w:val="21"/>
                <w:szCs w:val="22"/>
              </w:rPr>
              <w:t>江苏新图土地规划设计咨询有限公司</w:t>
            </w:r>
            <w:bookmarkEnd w:id="9"/>
          </w:p>
        </w:tc>
        <w:tc>
          <w:tcPr>
            <w:tcW w:w="126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121"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75" w:type="dxa"/>
            <w:gridSpan w:val="2"/>
            <w:vAlign w:val="center"/>
          </w:tcPr>
          <w:p>
            <w:pPr>
              <w:jc w:val="center"/>
              <w:rPr>
                <w:b/>
                <w:sz w:val="16"/>
                <w:szCs w:val="16"/>
              </w:rPr>
            </w:pPr>
            <w:r>
              <w:rPr>
                <w:rFonts w:hint="eastAsia" w:ascii="宋体" w:hAnsi="宋体"/>
                <w:b/>
                <w:sz w:val="21"/>
                <w:szCs w:val="21"/>
              </w:rPr>
              <w:t>注册地址</w:t>
            </w:r>
          </w:p>
        </w:tc>
        <w:tc>
          <w:tcPr>
            <w:tcW w:w="5850" w:type="dxa"/>
            <w:gridSpan w:val="3"/>
            <w:vAlign w:val="center"/>
          </w:tcPr>
          <w:p>
            <w:pPr>
              <w:jc w:val="center"/>
              <w:rPr>
                <w:rFonts w:ascii="宋体"/>
                <w:b/>
                <w:sz w:val="21"/>
              </w:rPr>
            </w:pPr>
            <w:bookmarkStart w:id="10" w:name="注册地址"/>
            <w:r>
              <w:rPr>
                <w:rFonts w:ascii="宋体"/>
                <w:b/>
                <w:sz w:val="21"/>
              </w:rPr>
              <w:t>南京市秦淮区永智路10号</w:t>
            </w:r>
            <w:bookmarkEnd w:id="10"/>
          </w:p>
        </w:tc>
        <w:tc>
          <w:tcPr>
            <w:tcW w:w="1260" w:type="dxa"/>
            <w:vMerge w:val="restart"/>
            <w:vAlign w:val="center"/>
          </w:tcPr>
          <w:p>
            <w:pPr>
              <w:jc w:val="center"/>
              <w:rPr>
                <w:rFonts w:ascii="宋体"/>
                <w:b/>
                <w:sz w:val="21"/>
              </w:rPr>
            </w:pPr>
            <w:r>
              <w:rPr>
                <w:rFonts w:hint="eastAsia" w:ascii="宋体" w:hAnsi="宋体"/>
                <w:b/>
                <w:sz w:val="21"/>
              </w:rPr>
              <w:t>邮编</w:t>
            </w:r>
          </w:p>
        </w:tc>
        <w:tc>
          <w:tcPr>
            <w:tcW w:w="1121" w:type="dxa"/>
            <w:vAlign w:val="center"/>
          </w:tcPr>
          <w:p>
            <w:pPr>
              <w:jc w:val="center"/>
              <w:rPr>
                <w:rFonts w:ascii="宋体"/>
                <w:b/>
                <w:sz w:val="21"/>
              </w:rPr>
            </w:pPr>
            <w:bookmarkStart w:id="11" w:name="注册邮编"/>
            <w:r>
              <w:rPr>
                <w:rFonts w:ascii="宋体"/>
                <w:b/>
                <w:sz w:val="21"/>
              </w:rPr>
              <w:t>210001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75" w:type="dxa"/>
            <w:gridSpan w:val="2"/>
            <w:vAlign w:val="center"/>
          </w:tcPr>
          <w:p>
            <w:pPr>
              <w:jc w:val="center"/>
              <w:rPr>
                <w:rFonts w:ascii="宋体"/>
                <w:b/>
                <w:sz w:val="21"/>
                <w:szCs w:val="21"/>
              </w:rPr>
            </w:pPr>
            <w:r>
              <w:rPr>
                <w:rFonts w:hint="eastAsia" w:ascii="宋体" w:hAnsi="宋体"/>
                <w:b/>
                <w:sz w:val="21"/>
                <w:szCs w:val="21"/>
              </w:rPr>
              <w:t>经营地址</w:t>
            </w:r>
          </w:p>
        </w:tc>
        <w:tc>
          <w:tcPr>
            <w:tcW w:w="5850" w:type="dxa"/>
            <w:gridSpan w:val="3"/>
            <w:vAlign w:val="center"/>
          </w:tcPr>
          <w:p>
            <w:pPr>
              <w:jc w:val="center"/>
              <w:rPr>
                <w:rFonts w:ascii="宋体"/>
                <w:b/>
                <w:sz w:val="21"/>
              </w:rPr>
            </w:pPr>
            <w:bookmarkStart w:id="12" w:name="办公地址"/>
            <w:r>
              <w:rPr>
                <w:rFonts w:ascii="宋体"/>
                <w:b/>
                <w:sz w:val="21"/>
              </w:rPr>
              <w:t>江苏省南京市秦淮区中山东路532-2金蝶软件园H1栋3楼308</w:t>
            </w:r>
            <w:bookmarkEnd w:id="12"/>
          </w:p>
        </w:tc>
        <w:tc>
          <w:tcPr>
            <w:tcW w:w="1260" w:type="dxa"/>
            <w:vMerge w:val="continue"/>
            <w:vAlign w:val="center"/>
          </w:tcPr>
          <w:p>
            <w:pPr>
              <w:jc w:val="center"/>
              <w:rPr>
                <w:rFonts w:ascii="宋体"/>
                <w:b/>
                <w:sz w:val="21"/>
              </w:rPr>
            </w:pPr>
          </w:p>
        </w:tc>
        <w:tc>
          <w:tcPr>
            <w:tcW w:w="1121" w:type="dxa"/>
            <w:vAlign w:val="center"/>
          </w:tcPr>
          <w:p>
            <w:pPr>
              <w:jc w:val="center"/>
              <w:rPr>
                <w:rFonts w:ascii="宋体"/>
                <w:b/>
                <w:sz w:val="21"/>
              </w:rPr>
            </w:pPr>
            <w:bookmarkStart w:id="13" w:name="办公邮编"/>
            <w:r>
              <w:rPr>
                <w:rFonts w:ascii="宋体"/>
                <w:b/>
                <w:sz w:val="21"/>
              </w:rPr>
              <w:t>210001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75"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5850" w:type="dxa"/>
            <w:gridSpan w:val="3"/>
            <w:vAlign w:val="center"/>
          </w:tcPr>
          <w:p>
            <w:pPr>
              <w:jc w:val="center"/>
              <w:rPr>
                <w:rFonts w:ascii="宋体"/>
                <w:b/>
                <w:sz w:val="21"/>
              </w:rPr>
            </w:pPr>
            <w:bookmarkStart w:id="14" w:name="生产地址Add"/>
            <w:r>
              <w:rPr>
                <w:rFonts w:ascii="宋体"/>
                <w:b/>
                <w:sz w:val="21"/>
              </w:rPr>
              <w:t>江苏省南京市秦淮区中山东路532-2金蝶软件园H1栋3楼308</w:t>
            </w:r>
            <w:bookmarkEnd w:id="14"/>
          </w:p>
        </w:tc>
        <w:tc>
          <w:tcPr>
            <w:tcW w:w="1260" w:type="dxa"/>
            <w:vMerge w:val="continue"/>
            <w:vAlign w:val="center"/>
          </w:tcPr>
          <w:p>
            <w:pPr>
              <w:jc w:val="center"/>
              <w:rPr>
                <w:rFonts w:ascii="宋体"/>
                <w:b/>
                <w:sz w:val="21"/>
              </w:rPr>
            </w:pPr>
          </w:p>
        </w:tc>
        <w:tc>
          <w:tcPr>
            <w:tcW w:w="1121" w:type="dxa"/>
            <w:vAlign w:val="center"/>
          </w:tcPr>
          <w:p>
            <w:pPr>
              <w:jc w:val="center"/>
              <w:rPr>
                <w:rFonts w:ascii="宋体"/>
                <w:b/>
                <w:sz w:val="21"/>
              </w:rPr>
            </w:pPr>
            <w:bookmarkStart w:id="15" w:name="生产邮编"/>
            <w:r>
              <w:rPr>
                <w:rFonts w:ascii="宋体"/>
                <w:b/>
                <w:sz w:val="21"/>
              </w:rPr>
              <w:t>210001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75" w:type="dxa"/>
            <w:gridSpan w:val="2"/>
            <w:vAlign w:val="center"/>
          </w:tcPr>
          <w:p>
            <w:pPr>
              <w:jc w:val="center"/>
              <w:rPr>
                <w:rFonts w:ascii="宋体"/>
                <w:b/>
                <w:sz w:val="21"/>
              </w:rPr>
            </w:pPr>
            <w:r>
              <w:rPr>
                <w:rFonts w:hint="eastAsia" w:ascii="宋体" w:hAnsi="宋体"/>
                <w:b/>
                <w:sz w:val="21"/>
              </w:rPr>
              <w:t>联系人</w:t>
            </w:r>
          </w:p>
        </w:tc>
        <w:tc>
          <w:tcPr>
            <w:tcW w:w="2780" w:type="dxa"/>
            <w:vAlign w:val="center"/>
          </w:tcPr>
          <w:p>
            <w:pPr>
              <w:jc w:val="center"/>
              <w:rPr>
                <w:rFonts w:ascii="宋体"/>
                <w:b/>
                <w:sz w:val="21"/>
              </w:rPr>
            </w:pPr>
            <w:bookmarkStart w:id="16" w:name="联系人"/>
            <w:r>
              <w:rPr>
                <w:rFonts w:ascii="宋体"/>
                <w:b/>
                <w:sz w:val="21"/>
              </w:rPr>
              <w:t>李扬</w:t>
            </w:r>
            <w:bookmarkEnd w:id="16"/>
          </w:p>
        </w:tc>
        <w:tc>
          <w:tcPr>
            <w:tcW w:w="1060" w:type="dxa"/>
            <w:vAlign w:val="center"/>
          </w:tcPr>
          <w:p>
            <w:pPr>
              <w:jc w:val="center"/>
              <w:rPr>
                <w:rFonts w:ascii="宋体"/>
                <w:b/>
                <w:sz w:val="21"/>
              </w:rPr>
            </w:pPr>
            <w:r>
              <w:rPr>
                <w:rFonts w:hint="eastAsia" w:ascii="宋体" w:hAnsi="宋体"/>
                <w:b/>
                <w:sz w:val="21"/>
              </w:rPr>
              <w:t>电话</w:t>
            </w:r>
            <w:r>
              <w:rPr>
                <w:b/>
                <w:sz w:val="16"/>
                <w:szCs w:val="16"/>
              </w:rPr>
              <w:t>.</w:t>
            </w:r>
          </w:p>
        </w:tc>
        <w:tc>
          <w:tcPr>
            <w:tcW w:w="2010" w:type="dxa"/>
            <w:vAlign w:val="center"/>
          </w:tcPr>
          <w:p>
            <w:pPr>
              <w:jc w:val="center"/>
              <w:rPr>
                <w:rFonts w:ascii="宋体"/>
                <w:b/>
                <w:sz w:val="21"/>
              </w:rPr>
            </w:pPr>
            <w:bookmarkStart w:id="17" w:name="联系人电话Add"/>
            <w:r>
              <w:rPr>
                <w:rFonts w:ascii="宋体"/>
                <w:b/>
                <w:sz w:val="21"/>
              </w:rPr>
              <w:t>17368013053</w:t>
            </w:r>
            <w:bookmarkEnd w:id="17"/>
          </w:p>
        </w:tc>
        <w:tc>
          <w:tcPr>
            <w:tcW w:w="1260" w:type="dxa"/>
            <w:vAlign w:val="center"/>
          </w:tcPr>
          <w:p>
            <w:pPr>
              <w:jc w:val="center"/>
              <w:rPr>
                <w:rFonts w:ascii="宋体"/>
                <w:b/>
                <w:sz w:val="21"/>
              </w:rPr>
            </w:pPr>
            <w:r>
              <w:rPr>
                <w:rFonts w:hint="eastAsia" w:ascii="宋体" w:hAnsi="宋体"/>
                <w:b/>
                <w:sz w:val="21"/>
              </w:rPr>
              <w:t>传真</w:t>
            </w:r>
          </w:p>
        </w:tc>
        <w:tc>
          <w:tcPr>
            <w:tcW w:w="1121" w:type="dxa"/>
            <w:vAlign w:val="center"/>
          </w:tcPr>
          <w:p>
            <w:pPr>
              <w:jc w:val="cente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5"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780" w:type="dxa"/>
            <w:vAlign w:val="center"/>
          </w:tcPr>
          <w:p>
            <w:pPr>
              <w:jc w:val="center"/>
              <w:rPr>
                <w:rFonts w:ascii="宋体" w:hAnsi="宋体"/>
                <w:b/>
                <w:sz w:val="21"/>
                <w:szCs w:val="21"/>
              </w:rPr>
            </w:pPr>
            <w:bookmarkStart w:id="19" w:name="法人"/>
            <w:r>
              <w:rPr>
                <w:rFonts w:ascii="宋体" w:hAnsi="宋体"/>
                <w:b/>
                <w:sz w:val="21"/>
                <w:szCs w:val="21"/>
              </w:rPr>
              <w:t>张占奎</w:t>
            </w:r>
            <w:bookmarkEnd w:id="19"/>
          </w:p>
        </w:tc>
        <w:tc>
          <w:tcPr>
            <w:tcW w:w="1060" w:type="dxa"/>
            <w:vAlign w:val="center"/>
          </w:tcPr>
          <w:p>
            <w:pPr>
              <w:jc w:val="center"/>
              <w:rPr>
                <w:rFonts w:ascii="宋体" w:hAnsi="宋体"/>
                <w:b/>
                <w:sz w:val="21"/>
                <w:szCs w:val="21"/>
              </w:rPr>
            </w:pPr>
            <w:r>
              <w:rPr>
                <w:rFonts w:hint="eastAsia" w:ascii="宋体" w:hAnsi="宋体"/>
                <w:b/>
                <w:sz w:val="21"/>
                <w:szCs w:val="21"/>
              </w:rPr>
              <w:t>总经理</w:t>
            </w:r>
          </w:p>
        </w:tc>
        <w:tc>
          <w:tcPr>
            <w:tcW w:w="2010" w:type="dxa"/>
            <w:vAlign w:val="center"/>
          </w:tcPr>
          <w:p>
            <w:pPr>
              <w:jc w:val="center"/>
              <w:rPr>
                <w:rFonts w:ascii="宋体" w:hAnsi="宋体"/>
                <w:b/>
                <w:sz w:val="21"/>
                <w:szCs w:val="21"/>
              </w:rPr>
            </w:pPr>
          </w:p>
        </w:tc>
        <w:tc>
          <w:tcPr>
            <w:tcW w:w="1260" w:type="dxa"/>
            <w:vAlign w:val="center"/>
          </w:tcPr>
          <w:p>
            <w:pPr>
              <w:jc w:val="center"/>
              <w:rPr>
                <w:rFonts w:ascii="宋体" w:hAnsi="宋体"/>
                <w:b/>
                <w:sz w:val="21"/>
                <w:szCs w:val="21"/>
              </w:rPr>
            </w:pPr>
            <w:r>
              <w:rPr>
                <w:rFonts w:hint="eastAsia" w:ascii="宋体" w:hAnsi="宋体"/>
                <w:b/>
                <w:sz w:val="21"/>
                <w:szCs w:val="21"/>
              </w:rPr>
              <w:t>管理者代表</w:t>
            </w:r>
          </w:p>
        </w:tc>
        <w:tc>
          <w:tcPr>
            <w:tcW w:w="1121" w:type="dxa"/>
            <w:vAlign w:val="center"/>
          </w:tcPr>
          <w:p>
            <w:pPr>
              <w:jc w:val="center"/>
              <w:rPr>
                <w:rFonts w:ascii="宋体"/>
                <w:b/>
                <w:sz w:val="21"/>
              </w:rPr>
            </w:pPr>
            <w:bookmarkStart w:id="20" w:name="管理者代表"/>
            <w:r>
              <w:rPr>
                <w:rFonts w:ascii="宋体"/>
                <w:b/>
                <w:sz w:val="21"/>
              </w:rPr>
              <w:t>尤才</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75"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840" w:type="dxa"/>
            <w:gridSpan w:val="2"/>
            <w:vAlign w:val="center"/>
          </w:tcPr>
          <w:p>
            <w:pPr>
              <w:jc w:val="center"/>
              <w:rPr>
                <w:rFonts w:ascii="宋体" w:hAnsi="宋体"/>
                <w:b/>
                <w:sz w:val="21"/>
                <w:szCs w:val="21"/>
              </w:rPr>
            </w:pPr>
            <w:bookmarkStart w:id="21" w:name="审核日期"/>
            <w:r>
              <w:rPr>
                <w:rFonts w:ascii="宋体" w:hAnsi="宋体"/>
                <w:b/>
                <w:sz w:val="21"/>
                <w:szCs w:val="21"/>
              </w:rPr>
              <w:t>2020年06月29日 上午至2020年07月01日 下午</w:t>
            </w:r>
            <w:bookmarkEnd w:id="21"/>
          </w:p>
        </w:tc>
        <w:tc>
          <w:tcPr>
            <w:tcW w:w="2010" w:type="dxa"/>
            <w:vAlign w:val="center"/>
          </w:tcPr>
          <w:p>
            <w:pPr>
              <w:jc w:val="center"/>
              <w:rPr>
                <w:rFonts w:ascii="宋体" w:hAnsi="宋体"/>
                <w:b/>
                <w:sz w:val="21"/>
                <w:szCs w:val="21"/>
              </w:rPr>
            </w:pPr>
            <w:r>
              <w:rPr>
                <w:rFonts w:hint="eastAsia" w:ascii="宋体" w:hAnsi="宋体"/>
                <w:b/>
                <w:sz w:val="21"/>
                <w:szCs w:val="21"/>
              </w:rPr>
              <w:t>一体化审核</w:t>
            </w:r>
          </w:p>
        </w:tc>
        <w:tc>
          <w:tcPr>
            <w:tcW w:w="2381" w:type="dxa"/>
            <w:gridSpan w:val="2"/>
            <w:vAlign w:val="center"/>
          </w:tcPr>
          <w:p>
            <w:pPr>
              <w:jc w:val="cente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r>
              <w:rPr>
                <w:rFonts w:hint="eastAsia" w:ascii="宋体" w:hAnsi="宋体"/>
                <w:b/>
                <w:sz w:val="21"/>
                <w:szCs w:val="21"/>
                <w:lang w:val="en-US" w:eastAsia="zh-CN"/>
              </w:rPr>
              <w:t xml:space="preserve">    </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1575"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8231" w:type="dxa"/>
            <w:gridSpan w:val="5"/>
          </w:tcPr>
          <w:p>
            <w:pPr>
              <w:tabs>
                <w:tab w:val="center" w:pos="4153"/>
                <w:tab w:val="right" w:pos="8306"/>
              </w:tabs>
              <w:snapToGrid w:val="0"/>
              <w:ind w:left="-108"/>
              <w:rPr>
                <w:rFonts w:hint="eastAsia" w:ascii="宋体" w:hAnsi="宋体"/>
                <w:b/>
                <w:bCs/>
                <w:sz w:val="20"/>
                <w:szCs w:val="22"/>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r>
              <w:rPr>
                <w:rFonts w:hint="eastAsia" w:ascii="宋体" w:hAnsi="宋体"/>
                <w:b/>
                <w:bCs/>
                <w:sz w:val="20"/>
                <w:szCs w:val="22"/>
              </w:rPr>
              <w:t>土地规划设计；土地调查；资质内的测绘服务；计算机应用软件的开发</w:t>
            </w:r>
            <w:bookmarkStart w:id="23" w:name="E勾选Add1"/>
          </w:p>
          <w:p>
            <w:pPr>
              <w:tabs>
                <w:tab w:val="center" w:pos="4153"/>
                <w:tab w:val="right" w:pos="8306"/>
              </w:tabs>
              <w:snapToGrid w:val="0"/>
              <w:ind w:left="-108"/>
              <w:rPr>
                <w:rFonts w:hint="eastAsia" w:ascii="宋体" w:hAnsi="宋体"/>
                <w:b/>
                <w:bCs/>
                <w:sz w:val="20"/>
                <w:szCs w:val="22"/>
              </w:rPr>
            </w:pPr>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rFonts w:hint="eastAsia" w:ascii="宋体" w:hAnsi="宋体"/>
                <w:b/>
                <w:bCs/>
                <w:sz w:val="20"/>
                <w:szCs w:val="22"/>
              </w:rPr>
              <w:t>土地规划设计；土地调查；资质内的测绘服务；计算机应用软件的开发所涉及场所的相关管理活动</w:t>
            </w:r>
            <w:bookmarkStart w:id="24" w:name="S勾选Add2"/>
          </w:p>
          <w:p>
            <w:pPr>
              <w:tabs>
                <w:tab w:val="center" w:pos="4153"/>
                <w:tab w:val="right" w:pos="8306"/>
              </w:tabs>
              <w:snapToGrid w:val="0"/>
              <w:ind w:left="-108"/>
              <w:rPr>
                <w:rFonts w:hint="eastAsia" w:ascii="宋体" w:hAnsi="宋体"/>
                <w:b/>
                <w:sz w:val="21"/>
                <w:szCs w:val="21"/>
              </w:rPr>
            </w:pPr>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rFonts w:hint="eastAsia" w:ascii="宋体" w:hAnsi="宋体"/>
                <w:b/>
                <w:bCs/>
                <w:sz w:val="20"/>
                <w:szCs w:val="22"/>
              </w:rPr>
              <w:t>土地规划设计；土地调查；资质内的测绘服务；计算机应用软件的开发所涉及场所的相关管理活动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85"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690"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8231"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5"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780" w:type="dxa"/>
          </w:tcPr>
          <w:p>
            <w:pPr>
              <w:spacing w:line="260" w:lineRule="exact"/>
              <w:rPr>
                <w:rFonts w:ascii="宋体" w:hAnsi="宋体"/>
                <w:b/>
                <w:sz w:val="21"/>
                <w:szCs w:val="21"/>
              </w:rPr>
            </w:pPr>
            <w:bookmarkStart w:id="25" w:name="专业代码"/>
            <w:r>
              <w:rPr>
                <w:rFonts w:ascii="宋体" w:hAnsi="宋体"/>
                <w:b/>
                <w:sz w:val="21"/>
                <w:szCs w:val="21"/>
              </w:rPr>
              <w:t>Q：33.02.01;34.01.01;</w:t>
            </w:r>
          </w:p>
          <w:p>
            <w:pPr>
              <w:spacing w:line="260" w:lineRule="exact"/>
              <w:rPr>
                <w:rFonts w:ascii="宋体" w:hAnsi="宋体"/>
                <w:b/>
                <w:sz w:val="21"/>
                <w:szCs w:val="21"/>
              </w:rPr>
            </w:pPr>
            <w:r>
              <w:rPr>
                <w:rFonts w:ascii="宋体" w:hAnsi="宋体"/>
                <w:b/>
                <w:sz w:val="21"/>
                <w:szCs w:val="21"/>
              </w:rPr>
              <w:t>34.01.02;34.06.00</w:t>
            </w:r>
          </w:p>
          <w:p>
            <w:pPr>
              <w:spacing w:line="260" w:lineRule="exact"/>
              <w:rPr>
                <w:rFonts w:ascii="宋体" w:hAnsi="宋体"/>
                <w:b/>
                <w:sz w:val="21"/>
                <w:szCs w:val="21"/>
              </w:rPr>
            </w:pPr>
            <w:r>
              <w:rPr>
                <w:rFonts w:ascii="宋体" w:hAnsi="宋体"/>
                <w:b/>
                <w:sz w:val="21"/>
                <w:szCs w:val="21"/>
              </w:rPr>
              <w:t>E：33.02.01;34.01.01;</w:t>
            </w:r>
          </w:p>
          <w:p>
            <w:pPr>
              <w:spacing w:line="260" w:lineRule="exact"/>
              <w:rPr>
                <w:rFonts w:ascii="宋体" w:hAnsi="宋体"/>
                <w:b/>
                <w:sz w:val="21"/>
                <w:szCs w:val="21"/>
              </w:rPr>
            </w:pPr>
            <w:r>
              <w:rPr>
                <w:rFonts w:ascii="宋体" w:hAnsi="宋体"/>
                <w:b/>
                <w:sz w:val="21"/>
                <w:szCs w:val="21"/>
              </w:rPr>
              <w:t>34.01.02;34.06.00</w:t>
            </w:r>
          </w:p>
          <w:p>
            <w:pPr>
              <w:spacing w:line="260" w:lineRule="exact"/>
              <w:rPr>
                <w:rFonts w:ascii="宋体" w:hAnsi="宋体"/>
                <w:b/>
                <w:sz w:val="21"/>
                <w:szCs w:val="21"/>
              </w:rPr>
            </w:pPr>
            <w:r>
              <w:rPr>
                <w:rFonts w:ascii="宋体" w:hAnsi="宋体"/>
                <w:b/>
                <w:sz w:val="21"/>
                <w:szCs w:val="21"/>
              </w:rPr>
              <w:t>O：33.02.01;34.01.01;</w:t>
            </w:r>
          </w:p>
          <w:p>
            <w:pPr>
              <w:spacing w:line="260" w:lineRule="exact"/>
              <w:rPr>
                <w:rFonts w:ascii="宋体" w:hAnsi="宋体"/>
                <w:b/>
                <w:sz w:val="21"/>
                <w:szCs w:val="21"/>
              </w:rPr>
            </w:pPr>
            <w:r>
              <w:rPr>
                <w:rFonts w:ascii="宋体" w:hAnsi="宋体"/>
                <w:b/>
                <w:sz w:val="21"/>
                <w:szCs w:val="21"/>
              </w:rPr>
              <w:t>34.01.02;34.06.00</w:t>
            </w:r>
            <w:bookmarkEnd w:id="25"/>
          </w:p>
        </w:tc>
        <w:tc>
          <w:tcPr>
            <w:tcW w:w="106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2010" w:type="dxa"/>
          </w:tcPr>
          <w:p>
            <w:pPr>
              <w:spacing w:line="260" w:lineRule="exact"/>
              <w:rPr>
                <w:rFonts w:ascii="宋体" w:hAnsi="宋体"/>
                <w:b/>
                <w:sz w:val="21"/>
                <w:szCs w:val="21"/>
              </w:rPr>
            </w:pPr>
          </w:p>
          <w:p>
            <w:pPr>
              <w:spacing w:line="260" w:lineRule="exact"/>
              <w:rPr>
                <w:rFonts w:ascii="宋体" w:hAnsi="宋体"/>
                <w:b/>
                <w:sz w:val="21"/>
                <w:szCs w:val="21"/>
              </w:rPr>
            </w:pPr>
          </w:p>
          <w:p>
            <w:pPr>
              <w:spacing w:line="260" w:lineRule="exact"/>
              <w:rPr>
                <w:rFonts w:ascii="宋体" w:hAnsi="宋体"/>
                <w:b/>
                <w:sz w:val="21"/>
                <w:szCs w:val="21"/>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2022年3月17日</w:t>
            </w:r>
          </w:p>
        </w:tc>
        <w:tc>
          <w:tcPr>
            <w:tcW w:w="126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121" w:type="dxa"/>
          </w:tcPr>
          <w:p>
            <w:pPr>
              <w:spacing w:line="260" w:lineRule="exact"/>
              <w:rPr>
                <w:rFonts w:ascii="宋体"/>
                <w:b/>
                <w:sz w:val="21"/>
              </w:rPr>
            </w:pPr>
          </w:p>
          <w:p>
            <w:pPr>
              <w:spacing w:line="260" w:lineRule="exact"/>
              <w:rPr>
                <w:rFonts w:ascii="宋体"/>
                <w:b/>
                <w:sz w:val="21"/>
              </w:rPr>
            </w:pPr>
          </w:p>
          <w:p>
            <w:pPr>
              <w:spacing w:line="260" w:lineRule="exact"/>
              <w:rPr>
                <w:rFonts w:ascii="宋体"/>
                <w:b/>
                <w:sz w:val="21"/>
              </w:rPr>
            </w:pPr>
          </w:p>
          <w:p>
            <w:pPr>
              <w:spacing w:line="260" w:lineRule="exact"/>
              <w:rPr>
                <w:rFonts w:ascii="宋体"/>
                <w:b/>
                <w:sz w:val="21"/>
              </w:rPr>
            </w:pPr>
            <w:r>
              <w:rPr>
                <w:rFonts w:hint="eastAsia" w:ascii="宋体"/>
                <w:b/>
                <w:sz w:val="21"/>
              </w:rPr>
              <w:t>2019.3.5-3.6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6</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720" w:type="dxa"/>
            <w:vMerge w:val="restart"/>
            <w:textDirection w:val="tbRlV"/>
            <w:vAlign w:val="center"/>
          </w:tcPr>
          <w:p>
            <w:pPr>
              <w:spacing w:line="240" w:lineRule="exact"/>
              <w:ind w:left="241" w:right="113" w:hanging="211" w:hangingChars="100"/>
              <w:jc w:val="center"/>
              <w:rPr>
                <w:rFonts w:hint="eastAsia" w:ascii="宋体" w:hAnsi="宋体" w:eastAsia="宋体" w:cs="宋体"/>
                <w:b/>
                <w:sz w:val="21"/>
                <w:szCs w:val="21"/>
              </w:rPr>
            </w:pPr>
            <w:r>
              <w:rPr>
                <w:rFonts w:hint="eastAsia" w:ascii="宋体" w:hAnsi="宋体" w:eastAsia="宋体" w:cs="宋体"/>
                <w:b/>
                <w:sz w:val="21"/>
                <w:szCs w:val="21"/>
              </w:rPr>
              <w:t>(一)策划的充分与合理性</w:t>
            </w: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1、组织及其环境的识别情况</w:t>
            </w:r>
          </w:p>
          <w:p>
            <w:pPr>
              <w:spacing w:line="360" w:lineRule="auto"/>
              <w:rPr>
                <w:rFonts w:hint="eastAsia" w:ascii="宋体" w:hAnsi="宋体" w:eastAsia="宋体" w:cs="宋体"/>
                <w:b/>
                <w:sz w:val="21"/>
                <w:szCs w:val="21"/>
              </w:rPr>
            </w:pPr>
            <w:r>
              <w:rPr>
                <w:rFonts w:hint="eastAsia" w:ascii="宋体" w:hAnsi="宋体" w:eastAsia="宋体" w:cs="宋体"/>
                <w:b w:val="0"/>
                <w:bCs/>
                <w:sz w:val="21"/>
                <w:szCs w:val="21"/>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hint="eastAsia" w:ascii="宋体" w:hAnsi="宋体" w:eastAsia="宋体" w:cs="宋体"/>
                <w:b/>
                <w:sz w:val="21"/>
                <w:szCs w:val="21"/>
              </w:rPr>
            </w:pPr>
          </w:p>
        </w:tc>
        <w:tc>
          <w:tcPr>
            <w:tcW w:w="9198" w:type="dxa"/>
          </w:tcPr>
          <w:p>
            <w:pPr>
              <w:numPr>
                <w:ilvl w:val="0"/>
                <w:numId w:val="0"/>
              </w:numPr>
              <w:spacing w:line="240" w:lineRule="auto"/>
              <w:rPr>
                <w:rFonts w:hint="eastAsia" w:ascii="宋体" w:hAnsi="宋体" w:eastAsia="宋体" w:cs="宋体"/>
                <w:b/>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相关方需求和期望识别情况</w:t>
            </w:r>
          </w:p>
          <w:p>
            <w:pPr>
              <w:numPr>
                <w:ilvl w:val="0"/>
                <w:numId w:val="0"/>
              </w:numPr>
              <w:spacing w:line="360" w:lineRule="auto"/>
              <w:rPr>
                <w:rFonts w:hint="eastAsia" w:ascii="宋体" w:hAnsi="宋体" w:eastAsia="宋体" w:cs="宋体"/>
                <w:b/>
                <w:sz w:val="21"/>
                <w:szCs w:val="21"/>
              </w:rPr>
            </w:pPr>
            <w:r>
              <w:rPr>
                <w:rFonts w:hint="eastAsia" w:ascii="宋体" w:hAnsi="宋体" w:eastAsia="宋体" w:cs="宋体"/>
                <w:b w:val="0"/>
                <w:bCs/>
                <w:sz w:val="21"/>
                <w:szCs w:val="21"/>
              </w:rPr>
              <w:t>公司识别并确定了利益相关方：顾客、外部</w:t>
            </w:r>
            <w:r>
              <w:rPr>
                <w:rFonts w:hint="eastAsia" w:ascii="宋体" w:hAnsi="宋体" w:eastAsia="宋体" w:cs="宋体"/>
                <w:b w:val="0"/>
                <w:bCs/>
                <w:sz w:val="21"/>
                <w:szCs w:val="21"/>
                <w:lang w:val="en-US" w:eastAsia="zh-CN"/>
              </w:rPr>
              <w:t>供方</w:t>
            </w:r>
            <w:r>
              <w:rPr>
                <w:rFonts w:hint="eastAsia" w:ascii="宋体" w:hAnsi="宋体" w:eastAsia="宋体" w:cs="宋体"/>
                <w:b w:val="0"/>
                <w:bCs/>
                <w:sz w:val="21"/>
                <w:szCs w:val="21"/>
              </w:rPr>
              <w:t>、员工及其他为本公司工作的人员或组织等。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hint="eastAsia" w:ascii="宋体" w:hAnsi="宋体" w:eastAsia="宋体" w:cs="宋体"/>
                <w:b/>
                <w:sz w:val="21"/>
                <w:szCs w:val="21"/>
              </w:rPr>
            </w:pPr>
          </w:p>
        </w:tc>
        <w:tc>
          <w:tcPr>
            <w:tcW w:w="9198" w:type="dxa"/>
          </w:tcPr>
          <w:p>
            <w:pPr>
              <w:numPr>
                <w:ilvl w:val="0"/>
                <w:numId w:val="1"/>
              </w:numPr>
              <w:spacing w:line="280" w:lineRule="exact"/>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质量/</w:t>
            </w:r>
            <w:r>
              <w:rPr>
                <w:rFonts w:hint="eastAsia" w:ascii="宋体" w:hAnsi="宋体" w:eastAsia="宋体" w:cs="宋体"/>
                <w:b/>
                <w:bCs/>
                <w:sz w:val="21"/>
                <w:szCs w:val="21"/>
                <w:lang w:eastAsia="zh-CN"/>
              </w:rPr>
              <w:t>☑</w:t>
            </w:r>
            <w:r>
              <w:rPr>
                <w:rFonts w:hint="eastAsia" w:ascii="宋体" w:hAnsi="宋体" w:eastAsia="宋体" w:cs="宋体"/>
                <w:b/>
                <w:bCs/>
                <w:sz w:val="21"/>
                <w:szCs w:val="21"/>
              </w:rPr>
              <w:t>环境/</w:t>
            </w:r>
            <w:r>
              <w:rPr>
                <w:rFonts w:hint="eastAsia" w:ascii="宋体" w:hAnsi="宋体" w:eastAsia="宋体" w:cs="宋体"/>
                <w:b/>
                <w:bCs/>
                <w:sz w:val="21"/>
                <w:szCs w:val="21"/>
                <w:lang w:eastAsia="zh-CN"/>
              </w:rPr>
              <w:t>☑</w:t>
            </w:r>
            <w:r>
              <w:rPr>
                <w:rFonts w:hint="eastAsia" w:ascii="宋体" w:hAnsi="宋体" w:eastAsia="宋体" w:cs="宋体"/>
                <w:b/>
                <w:bCs/>
                <w:sz w:val="21"/>
                <w:szCs w:val="21"/>
              </w:rPr>
              <w:t>职业健康安全方针（组织方针的适宜性/持续适宜性、方针的传达及职工的理解等）</w:t>
            </w:r>
          </w:p>
          <w:p>
            <w:pPr>
              <w:pStyle w:val="2"/>
              <w:numPr>
                <w:ilvl w:val="0"/>
                <w:numId w:val="0"/>
              </w:numPr>
              <w:spacing w:line="360" w:lineRule="auto"/>
              <w:rPr>
                <w:rFonts w:hint="eastAsia" w:ascii="宋体" w:hAnsi="宋体" w:eastAsia="宋体" w:cs="宋体"/>
                <w:sz w:val="21"/>
                <w:szCs w:val="21"/>
              </w:rPr>
            </w:pPr>
            <w:r>
              <w:rPr>
                <w:rFonts w:hint="eastAsia" w:ascii="宋体" w:hAnsi="宋体" w:eastAsia="宋体" w:cs="宋体"/>
                <w:b w:val="0"/>
                <w:bCs w:val="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hint="eastAsia" w:ascii="宋体" w:hAnsi="宋体" w:eastAsia="宋体" w:cs="宋体"/>
                <w:b/>
                <w:sz w:val="21"/>
                <w:szCs w:val="21"/>
              </w:rPr>
            </w:pPr>
          </w:p>
        </w:tc>
        <w:tc>
          <w:tcPr>
            <w:tcW w:w="9198" w:type="dxa"/>
          </w:tcPr>
          <w:p>
            <w:pPr>
              <w:numPr>
                <w:ilvl w:val="0"/>
                <w:numId w:val="0"/>
              </w:numPr>
              <w:rPr>
                <w:rFonts w:hint="eastAsia" w:ascii="宋体" w:hAnsi="宋体" w:eastAsia="宋体" w:cs="宋体"/>
                <w:b/>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rPr>
              <w:t>风险识别与控制策划</w:t>
            </w:r>
          </w:p>
          <w:p>
            <w:pPr>
              <w:pStyle w:val="2"/>
              <w:numPr>
                <w:ilvl w:val="0"/>
                <w:numId w:val="0"/>
              </w:numPr>
              <w:spacing w:line="360" w:lineRule="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提供“风险与机遇评价与应对措施表”，按照检测、销售服务、采购、支持过程/部门对风险和机遇进行了评价识别，并制定应对措施。</w:t>
            </w:r>
          </w:p>
          <w:p>
            <w:pPr>
              <w:pStyle w:val="2"/>
              <w:numPr>
                <w:ilvl w:val="0"/>
                <w:numId w:val="0"/>
              </w:numPr>
              <w:spacing w:line="360" w:lineRule="auto"/>
              <w:rPr>
                <w:rFonts w:hint="eastAsia" w:ascii="宋体" w:hAnsi="宋体" w:eastAsia="宋体" w:cs="宋体"/>
                <w:b/>
                <w:sz w:val="21"/>
                <w:szCs w:val="21"/>
              </w:rPr>
            </w:pPr>
            <w:r>
              <w:rPr>
                <w:rFonts w:hint="eastAsia" w:ascii="宋体" w:hAnsi="宋体" w:eastAsia="宋体" w:cs="宋体"/>
                <w:b w:val="0"/>
                <w:bCs/>
                <w:kern w:val="2"/>
                <w:sz w:val="21"/>
                <w:szCs w:val="21"/>
                <w:lang w:val="en-US" w:eastAsia="zh-CN" w:bidi="ar-SA"/>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5.QMS/□50430过程</w:t>
            </w:r>
          </w:p>
          <w:p>
            <w:pPr>
              <w:tabs>
                <w:tab w:val="left" w:pos="540"/>
              </w:tabs>
              <w:spacing w:line="360" w:lineRule="auto"/>
              <w:ind w:left="211" w:hanging="211" w:hangingChars="100"/>
              <w:rPr>
                <w:rFonts w:hint="eastAsia" w:ascii="宋体" w:hAnsi="宋体" w:eastAsia="宋体" w:cs="宋体"/>
                <w:b/>
                <w:sz w:val="21"/>
                <w:szCs w:val="21"/>
                <w:lang w:eastAsia="zh-CN"/>
              </w:rPr>
            </w:pPr>
            <w:r>
              <w:rPr>
                <w:rFonts w:hint="eastAsia" w:ascii="宋体" w:hAnsi="宋体" w:eastAsia="宋体" w:cs="宋体"/>
                <w:b/>
                <w:sz w:val="21"/>
                <w:szCs w:val="21"/>
              </w:rPr>
              <w:t>质量管理体系过程有：</w:t>
            </w:r>
            <w:r>
              <w:rPr>
                <w:rFonts w:hint="eastAsia" w:ascii="宋体" w:hAnsi="宋体" w:eastAsia="宋体" w:cs="宋体"/>
                <w:b w:val="0"/>
                <w:bCs/>
                <w:kern w:val="2"/>
                <w:sz w:val="21"/>
                <w:szCs w:val="21"/>
                <w:lang w:val="en-US" w:eastAsia="zh-CN" w:bidi="ar-SA"/>
              </w:rPr>
              <w:t>计算机应用软件研发过程、土地规划过程、土地调查过程、测绘过程</w:t>
            </w:r>
          </w:p>
          <w:p>
            <w:pPr>
              <w:tabs>
                <w:tab w:val="left" w:pos="540"/>
              </w:tabs>
              <w:spacing w:line="360" w:lineRule="auto"/>
              <w:ind w:left="211" w:hanging="211" w:hangingChars="100"/>
              <w:rPr>
                <w:rFonts w:hint="eastAsia" w:ascii="宋体" w:hAnsi="宋体" w:eastAsia="宋体" w:cs="宋体"/>
                <w:b/>
                <w:sz w:val="21"/>
                <w:szCs w:val="21"/>
              </w:rPr>
            </w:pPr>
            <w:r>
              <w:rPr>
                <w:rFonts w:hint="eastAsia" w:ascii="宋体" w:hAnsi="宋体" w:eastAsia="宋体" w:cs="宋体"/>
                <w:b/>
                <w:sz w:val="21"/>
                <w:szCs w:val="21"/>
              </w:rPr>
              <w:t>其中关键过程有</w:t>
            </w:r>
            <w:r>
              <w:rPr>
                <w:rFonts w:hint="eastAsia" w:ascii="宋体" w:hAnsi="宋体" w:eastAsia="宋体" w:cs="宋体"/>
                <w:b/>
                <w:sz w:val="21"/>
                <w:szCs w:val="21"/>
                <w:lang w:val="en-US" w:eastAsia="zh-CN"/>
              </w:rPr>
              <w:t xml:space="preserve">   </w:t>
            </w:r>
            <w:r>
              <w:rPr>
                <w:rFonts w:hint="eastAsia" w:ascii="宋体" w:hAnsi="宋体" w:eastAsia="宋体" w:cs="宋体"/>
                <w:b w:val="0"/>
                <w:bCs/>
                <w:kern w:val="2"/>
                <w:sz w:val="21"/>
                <w:szCs w:val="21"/>
                <w:lang w:val="en-US" w:eastAsia="zh-CN" w:bidi="ar-SA"/>
              </w:rPr>
              <w:t>设计、测绘过程</w:t>
            </w:r>
          </w:p>
          <w:p>
            <w:pPr>
              <w:tabs>
                <w:tab w:val="left" w:pos="540"/>
              </w:tabs>
              <w:spacing w:line="360" w:lineRule="auto"/>
              <w:ind w:left="211" w:hanging="211" w:hangingChars="100"/>
              <w:rPr>
                <w:rFonts w:hint="default" w:ascii="宋体" w:hAnsi="宋体" w:eastAsia="宋体" w:cs="宋体"/>
                <w:b/>
                <w:sz w:val="21"/>
                <w:szCs w:val="21"/>
                <w:lang w:val="en-US" w:eastAsia="zh-CN"/>
              </w:rPr>
            </w:pPr>
            <w:r>
              <w:rPr>
                <w:rFonts w:hint="eastAsia" w:ascii="宋体" w:hAnsi="宋体" w:eastAsia="宋体" w:cs="宋体"/>
                <w:b/>
                <w:sz w:val="21"/>
                <w:szCs w:val="21"/>
              </w:rPr>
              <w:t>需要确认过程</w:t>
            </w:r>
            <w:r>
              <w:rPr>
                <w:rFonts w:hint="eastAsia" w:ascii="宋体" w:hAnsi="宋体" w:eastAsia="宋体" w:cs="宋体"/>
                <w:b/>
                <w:sz w:val="21"/>
                <w:szCs w:val="21"/>
                <w:lang w:val="en-US" w:eastAsia="zh-CN"/>
              </w:rPr>
              <w:t xml:space="preserve">  </w:t>
            </w:r>
            <w:r>
              <w:rPr>
                <w:rFonts w:hint="eastAsia" w:ascii="宋体" w:hAnsi="宋体" w:eastAsia="宋体" w:cs="宋体"/>
                <w:b w:val="0"/>
                <w:bCs/>
                <w:kern w:val="2"/>
                <w:sz w:val="21"/>
                <w:szCs w:val="21"/>
                <w:lang w:val="en-US" w:eastAsia="zh-CN" w:bidi="ar-SA"/>
              </w:rPr>
              <w:t xml:space="preserve"> 设计、测绘过程</w:t>
            </w:r>
          </w:p>
          <w:p>
            <w:pPr>
              <w:tabs>
                <w:tab w:val="left" w:pos="540"/>
              </w:tabs>
              <w:spacing w:line="360" w:lineRule="auto"/>
              <w:ind w:left="211" w:hanging="211" w:hangingChars="100"/>
              <w:rPr>
                <w:rFonts w:hint="eastAsia" w:ascii="宋体" w:hAnsi="宋体" w:eastAsia="宋体" w:cs="宋体"/>
                <w:b/>
                <w:sz w:val="21"/>
                <w:szCs w:val="21"/>
              </w:rPr>
            </w:pPr>
            <w:r>
              <w:rPr>
                <w:rFonts w:hint="eastAsia" w:ascii="宋体" w:hAnsi="宋体" w:eastAsia="宋体" w:cs="宋体"/>
                <w:b/>
                <w:sz w:val="21"/>
                <w:szCs w:val="21"/>
              </w:rPr>
              <w:pict>
                <v:shape id="_x0000_s1027" o:spid="_x0000_s1027" o:spt="32" type="#_x0000_t32" style="position:absolute;left:0pt;margin-left:56.65pt;margin-top:20.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eastAsia="宋体" w:cs="宋体"/>
                <w:b/>
                <w:sz w:val="21"/>
                <w:szCs w:val="21"/>
              </w:rPr>
              <w:t>删减条款</w:t>
            </w:r>
            <w:r>
              <w:rPr>
                <w:rFonts w:hint="eastAsia" w:ascii="宋体" w:hAnsi="宋体" w:eastAsia="宋体" w:cs="宋体"/>
                <w:b/>
                <w:sz w:val="21"/>
                <w:szCs w:val="21"/>
                <w:lang w:val="en-US" w:eastAsia="zh-CN"/>
              </w:rPr>
              <w:t xml:space="preserve">     </w:t>
            </w:r>
            <w:r>
              <w:rPr>
                <w:rFonts w:hint="eastAsia" w:ascii="宋体" w:hAnsi="宋体" w:eastAsia="宋体" w:cs="宋体"/>
                <w:b w:val="0"/>
                <w:bCs/>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6. </w:t>
            </w:r>
            <w:r>
              <w:rPr>
                <w:rFonts w:hint="eastAsia" w:ascii="宋体" w:hAnsi="宋体" w:eastAsia="宋体" w:cs="宋体"/>
                <w:b/>
                <w:sz w:val="21"/>
                <w:szCs w:val="21"/>
                <w:lang w:eastAsia="zh-CN"/>
              </w:rPr>
              <w:t>☑</w:t>
            </w:r>
            <w:r>
              <w:rPr>
                <w:rFonts w:hint="eastAsia" w:ascii="宋体" w:hAnsi="宋体" w:eastAsia="宋体" w:cs="宋体"/>
                <w:b/>
                <w:sz w:val="21"/>
                <w:szCs w:val="21"/>
              </w:rPr>
              <w:t>EMS环境因素</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（环境因素辨识是否充分、重要环境因素评价合理性，以及环境因素动态变更的及时性等）</w:t>
            </w:r>
          </w:p>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val="en-US" w:eastAsia="zh-CN" w:bidi="ar"/>
              </w:rPr>
              <w:t xml:space="preserve"> </w:t>
            </w:r>
            <w:r>
              <w:rPr>
                <w:rFonts w:hint="eastAsia" w:ascii="宋体" w:hAnsi="宋体" w:cs="宋体"/>
                <w:sz w:val="21"/>
                <w:szCs w:val="21"/>
                <w:lang w:bidi="ar"/>
              </w:rPr>
              <w:t>《环境因素识别与评价程序》，</w:t>
            </w:r>
            <w:r>
              <w:rPr>
                <w:rFonts w:hint="eastAsia" w:ascii="宋体" w:hAnsi="宋体" w:cs="宋体"/>
                <w:sz w:val="21"/>
                <w:szCs w:val="21"/>
                <w:lang w:val="en-US" w:eastAsia="zh-CN" w:bidi="ar"/>
              </w:rPr>
              <w:t xml:space="preserve"> </w:t>
            </w:r>
            <w:r>
              <w:rPr>
                <w:rFonts w:hint="eastAsia" w:ascii="宋体" w:hAnsi="宋体" w:cs="宋体"/>
                <w:sz w:val="21"/>
                <w:szCs w:val="21"/>
                <w:lang w:bidi="ar"/>
              </w:rPr>
              <w:t>文件对识别和评价方法、程序、职责、记录作了规定。</w:t>
            </w:r>
          </w:p>
          <w:p>
            <w:pPr>
              <w:tabs>
                <w:tab w:val="center" w:pos="3169"/>
              </w:tabs>
              <w:spacing w:line="400" w:lineRule="exact"/>
              <w:ind w:firstLine="210" w:firstLineChars="100"/>
              <w:jc w:val="left"/>
              <w:rPr>
                <w:rFonts w:hint="default" w:ascii="宋体" w:hAnsi="宋体" w:eastAsia="宋体" w:cs="宋体"/>
                <w:sz w:val="21"/>
                <w:szCs w:val="21"/>
                <w:lang w:val="en-US" w:eastAsia="zh-CN" w:bidi="ar"/>
              </w:rPr>
            </w:pPr>
            <w:r>
              <w:rPr>
                <w:rFonts w:hint="eastAsia" w:ascii="宋体" w:hAnsi="宋体" w:cs="宋体"/>
                <w:sz w:val="21"/>
                <w:szCs w:val="21"/>
                <w:lang w:bidi="ar"/>
              </w:rPr>
              <w:t>办公室201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12</w:t>
            </w:r>
            <w:r>
              <w:rPr>
                <w:rFonts w:hint="eastAsia" w:ascii="宋体" w:hAnsi="宋体" w:cs="宋体"/>
                <w:sz w:val="21"/>
                <w:szCs w:val="21"/>
                <w:lang w:bidi="ar"/>
              </w:rPr>
              <w:t>月</w:t>
            </w:r>
            <w:r>
              <w:rPr>
                <w:rFonts w:hint="eastAsia" w:ascii="宋体" w:hAnsi="宋体" w:cs="宋体"/>
                <w:sz w:val="21"/>
                <w:szCs w:val="21"/>
                <w:lang w:val="en-US" w:eastAsia="zh-CN" w:bidi="ar"/>
              </w:rPr>
              <w:t>又</w:t>
            </w:r>
            <w:r>
              <w:rPr>
                <w:rFonts w:hint="eastAsia" w:ascii="宋体" w:hAnsi="宋体" w:cs="宋体"/>
                <w:sz w:val="21"/>
                <w:szCs w:val="21"/>
                <w:lang w:bidi="ar"/>
              </w:rPr>
              <w:t>组织了各个部门开展了环境因素的识别工作</w:t>
            </w:r>
            <w:r>
              <w:rPr>
                <w:rFonts w:hint="eastAsia" w:ascii="宋体" w:hAnsi="宋体" w:cs="宋体"/>
                <w:sz w:val="21"/>
                <w:szCs w:val="21"/>
                <w:lang w:eastAsia="zh-CN" w:bidi="ar"/>
              </w:rPr>
              <w:t>，</w:t>
            </w:r>
            <w:r>
              <w:rPr>
                <w:rFonts w:hint="eastAsia" w:ascii="宋体" w:hAnsi="宋体" w:cs="宋体"/>
                <w:sz w:val="21"/>
                <w:szCs w:val="21"/>
                <w:lang w:val="en-US" w:eastAsia="zh-CN" w:bidi="ar"/>
              </w:rPr>
              <w:t>基本没有变化。</w:t>
            </w:r>
          </w:p>
          <w:p>
            <w:pPr>
              <w:spacing w:line="400" w:lineRule="exact"/>
              <w:rPr>
                <w:rFonts w:hint="eastAsia" w:ascii="宋体" w:hAnsi="宋体" w:cs="宋体"/>
                <w:sz w:val="21"/>
                <w:szCs w:val="21"/>
                <w:lang w:bidi="ar"/>
              </w:rPr>
            </w:pPr>
            <w:r>
              <w:rPr>
                <w:rFonts w:hint="eastAsia" w:ascii="宋体" w:hAnsi="宋体" w:cs="宋体"/>
                <w:sz w:val="21"/>
                <w:szCs w:val="21"/>
                <w:lang w:bidi="ar"/>
              </w:rPr>
              <w:t>查见：《环境因素评价表》和《重要环境因素清单》，按照部门和经营过程进行识别并评价出公司重要环境因素有：</w:t>
            </w:r>
            <w:r>
              <w:rPr>
                <w:rFonts w:hint="eastAsia"/>
                <w:sz w:val="21"/>
                <w:szCs w:val="21"/>
              </w:rPr>
              <w:t>固废排放、潜在火灾2</w:t>
            </w:r>
            <w:r>
              <w:rPr>
                <w:rFonts w:hint="eastAsia" w:ascii="宋体" w:hAnsi="宋体" w:cs="宋体"/>
                <w:sz w:val="21"/>
                <w:szCs w:val="21"/>
                <w:lang w:bidi="ar"/>
              </w:rPr>
              <w:t>项，识别清楚、准确，评价合理。</w:t>
            </w:r>
          </w:p>
          <w:p>
            <w:pPr>
              <w:spacing w:line="24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7. </w:t>
            </w:r>
            <w:r>
              <w:rPr>
                <w:rFonts w:hint="eastAsia" w:ascii="宋体" w:hAnsi="宋体" w:eastAsia="宋体" w:cs="宋体"/>
                <w:b/>
                <w:sz w:val="21"/>
                <w:szCs w:val="21"/>
                <w:lang w:eastAsia="zh-CN"/>
              </w:rPr>
              <w:t>☑</w:t>
            </w:r>
            <w:r>
              <w:rPr>
                <w:rFonts w:hint="eastAsia" w:ascii="宋体" w:hAnsi="宋体" w:eastAsia="宋体" w:cs="宋体"/>
                <w:b/>
                <w:sz w:val="21"/>
                <w:szCs w:val="21"/>
              </w:rPr>
              <w:t>OHSMS职业健康安全危险源</w:t>
            </w:r>
          </w:p>
          <w:p>
            <w:pPr>
              <w:tabs>
                <w:tab w:val="left" w:pos="2552"/>
              </w:tabs>
              <w:spacing w:line="360" w:lineRule="auto"/>
              <w:ind w:firstLine="316" w:firstLineChars="150"/>
              <w:rPr>
                <w:rFonts w:hint="eastAsia" w:ascii="宋体" w:hAnsi="宋体" w:eastAsia="宋体" w:cs="宋体"/>
                <w:b w:val="0"/>
                <w:bCs/>
                <w:sz w:val="21"/>
                <w:szCs w:val="21"/>
              </w:rPr>
            </w:pPr>
            <w:r>
              <w:rPr>
                <w:rFonts w:hint="eastAsia" w:ascii="宋体" w:hAnsi="宋体" w:eastAsia="宋体" w:cs="宋体"/>
                <w:b/>
                <w:sz w:val="21"/>
                <w:szCs w:val="21"/>
              </w:rPr>
              <w:t>（职业健康安全危险源辨识是否充分、风险评价合理性，以及风险评价动态变更的及时性等）</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《危险源辨识、风险评价和风险控制程序》</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对识别和评价方法、程序、职责、记录作了规定。</w:t>
            </w:r>
          </w:p>
          <w:p>
            <w:pPr>
              <w:tabs>
                <w:tab w:val="left" w:pos="2552"/>
              </w:tabs>
              <w:spacing w:line="360" w:lineRule="auto"/>
              <w:ind w:firstLine="315" w:firstLineChars="150"/>
              <w:rPr>
                <w:rFonts w:hint="eastAsia" w:ascii="宋体" w:hAnsi="宋体" w:eastAsia="宋体" w:cs="宋体"/>
                <w:b w:val="0"/>
                <w:bCs/>
                <w:sz w:val="21"/>
                <w:szCs w:val="21"/>
              </w:rPr>
            </w:pPr>
            <w:r>
              <w:rPr>
                <w:rFonts w:hint="eastAsia" w:ascii="宋体" w:hAnsi="宋体" w:eastAsia="宋体" w:cs="宋体"/>
                <w:b w:val="0"/>
                <w:bCs/>
                <w:sz w:val="21"/>
                <w:szCs w:val="21"/>
              </w:rPr>
              <w:t>1、查见：规划设计部及办公区域《危险源辨识与风险评价表》，危险源共评价出不可接受风险：2项，分别是：1）触电；2)潜在火灾。     辨识清楚、准确，评价充分合理。</w:t>
            </w:r>
          </w:p>
          <w:p>
            <w:pPr>
              <w:tabs>
                <w:tab w:val="left" w:pos="2552"/>
              </w:tabs>
              <w:spacing w:line="360" w:lineRule="auto"/>
              <w:ind w:firstLine="315" w:firstLineChars="150"/>
              <w:rPr>
                <w:rFonts w:hint="eastAsia" w:ascii="宋体" w:hAnsi="宋体" w:eastAsia="宋体" w:cs="宋体"/>
                <w:b w:val="0"/>
                <w:bCs/>
                <w:sz w:val="21"/>
                <w:szCs w:val="21"/>
              </w:rPr>
            </w:pPr>
            <w:r>
              <w:rPr>
                <w:rFonts w:hint="eastAsia" w:ascii="宋体" w:hAnsi="宋体" w:eastAsia="宋体" w:cs="宋体"/>
                <w:b w:val="0"/>
                <w:bCs/>
                <w:sz w:val="21"/>
                <w:szCs w:val="21"/>
              </w:rPr>
              <w:t>抽查火灾伤害控制措施的策划：</w:t>
            </w:r>
          </w:p>
          <w:p>
            <w:pPr>
              <w:tabs>
                <w:tab w:val="left" w:pos="2552"/>
              </w:tabs>
              <w:spacing w:line="360" w:lineRule="auto"/>
              <w:ind w:firstLine="315" w:firstLineChars="150"/>
              <w:rPr>
                <w:rFonts w:ascii="华文楷体" w:hAnsi="华文楷体" w:eastAsia="华文楷体"/>
                <w:b w:val="0"/>
                <w:bCs/>
                <w:iCs/>
              </w:rPr>
            </w:pPr>
            <w:r>
              <w:rPr>
                <w:rFonts w:hint="eastAsia" w:ascii="宋体" w:hAnsi="宋体" w:eastAsia="宋体" w:cs="宋体"/>
                <w:b w:val="0"/>
                <w:bCs/>
                <w:sz w:val="21"/>
                <w:szCs w:val="21"/>
              </w:rPr>
              <w:t>A：定期组织员工进行安全意识培训；B：日常的检查；C：制定管理方案，应急预案等</w:t>
            </w:r>
          </w:p>
          <w:p>
            <w:pPr>
              <w:spacing w:line="24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300" w:lineRule="exact"/>
              <w:rPr>
                <w:rFonts w:hint="eastAsia" w:ascii="宋体" w:hAnsi="宋体" w:eastAsia="宋体" w:cs="宋体"/>
                <w:b/>
                <w:sz w:val="21"/>
                <w:szCs w:val="21"/>
              </w:rPr>
            </w:pPr>
            <w:r>
              <w:rPr>
                <w:rFonts w:hint="eastAsia" w:ascii="宋体" w:hAnsi="宋体" w:eastAsia="宋体" w:cs="宋体"/>
                <w:b/>
                <w:sz w:val="21"/>
                <w:szCs w:val="21"/>
              </w:rPr>
              <w:t>8. 法律法规及其他要求</w:t>
            </w:r>
          </w:p>
          <w:p>
            <w:pPr>
              <w:pStyle w:val="15"/>
              <w:numPr>
                <w:ilvl w:val="0"/>
                <w:numId w:val="2"/>
              </w:numPr>
              <w:tabs>
                <w:tab w:val="left" w:pos="540"/>
              </w:tabs>
              <w:spacing w:line="360" w:lineRule="auto"/>
              <w:ind w:firstLineChars="0"/>
              <w:rPr>
                <w:rFonts w:ascii="宋体"/>
                <w:b/>
                <w:color w:val="000000"/>
                <w:sz w:val="21"/>
                <w:szCs w:val="21"/>
                <w:u w:val="single"/>
              </w:rPr>
            </w:pPr>
            <w:r>
              <w:rPr>
                <w:rFonts w:hint="eastAsia" w:ascii="宋体" w:hAnsi="宋体"/>
                <w:b/>
                <w:color w:val="000000"/>
                <w:sz w:val="21"/>
                <w:szCs w:val="21"/>
              </w:rPr>
              <w:t>获取法律法规项，▇法律法规获取充分，□法律法规获取有遗漏，缺少</w:t>
            </w:r>
          </w:p>
          <w:p>
            <w:pPr>
              <w:pStyle w:val="15"/>
              <w:numPr>
                <w:ilvl w:val="0"/>
                <w:numId w:val="2"/>
              </w:numPr>
              <w:tabs>
                <w:tab w:val="left" w:pos="540"/>
              </w:tabs>
              <w:spacing w:line="360" w:lineRule="auto"/>
              <w:ind w:firstLineChars="0"/>
              <w:rPr>
                <w:rFonts w:ascii="宋体"/>
                <w:b/>
                <w:color w:val="000000"/>
                <w:sz w:val="21"/>
                <w:szCs w:val="21"/>
              </w:rPr>
            </w:pPr>
            <w:r>
              <w:rPr>
                <w:rFonts w:hint="eastAsia" w:ascii="宋体" w:hAnsi="宋体"/>
                <w:b/>
                <w:color w:val="000000"/>
                <w:sz w:val="21"/>
                <w:szCs w:val="21"/>
              </w:rPr>
              <w:t>结合公司的▇产品</w:t>
            </w:r>
            <w:r>
              <w:rPr>
                <w:rFonts w:ascii="宋体" w:hAnsi="宋体"/>
                <w:b/>
                <w:color w:val="000000"/>
                <w:sz w:val="21"/>
                <w:szCs w:val="21"/>
              </w:rPr>
              <w:t>/</w:t>
            </w:r>
            <w:r>
              <w:rPr>
                <w:rFonts w:hint="eastAsia" w:ascii="宋体" w:hAnsi="宋体"/>
                <w:b/>
                <w:color w:val="000000"/>
                <w:sz w:val="21"/>
                <w:szCs w:val="21"/>
              </w:rPr>
              <w:t>服务▇环境因素▇危险源，▇确定</w:t>
            </w:r>
            <w:r>
              <w:rPr>
                <w:rFonts w:ascii="宋体" w:hAnsi="宋体"/>
                <w:b/>
                <w:color w:val="000000"/>
                <w:sz w:val="21"/>
                <w:szCs w:val="21"/>
              </w:rPr>
              <w:t xml:space="preserve"> </w:t>
            </w:r>
            <w:r>
              <w:rPr>
                <w:rFonts w:hint="eastAsia" w:ascii="宋体" w:hAnsi="宋体"/>
                <w:b/>
                <w:color w:val="000000"/>
                <w:sz w:val="21"/>
                <w:szCs w:val="21"/>
              </w:rPr>
              <w:t>□未确定法律法规要求的具体条款，</w:t>
            </w:r>
          </w:p>
          <w:p>
            <w:pPr>
              <w:spacing w:line="360" w:lineRule="auto"/>
              <w:ind w:firstLine="211" w:firstLineChars="100"/>
              <w:rPr>
                <w:rFonts w:ascii="宋体" w:cs="宋体"/>
                <w:sz w:val="21"/>
                <w:szCs w:val="21"/>
              </w:rPr>
            </w:pPr>
            <w:r>
              <w:rPr>
                <w:rFonts w:hint="eastAsia" w:ascii="宋体" w:hAnsi="宋体"/>
                <w:b/>
                <w:color w:val="000000"/>
                <w:sz w:val="21"/>
                <w:szCs w:val="21"/>
              </w:rPr>
              <w:t>法律法规的宣传方式：</w:t>
            </w:r>
            <w:r>
              <w:rPr>
                <w:rFonts w:hint="eastAsia" w:ascii="宋体" w:hAnsi="宋体" w:cs="宋体"/>
                <w:sz w:val="21"/>
                <w:szCs w:val="21"/>
              </w:rPr>
              <w:t>通过培训、开会、发文件等形式将法律法规要求传达给了员工和相关方。</w:t>
            </w:r>
          </w:p>
          <w:p>
            <w:pPr>
              <w:pStyle w:val="15"/>
              <w:numPr>
                <w:ilvl w:val="0"/>
                <w:numId w:val="2"/>
              </w:numPr>
              <w:tabs>
                <w:tab w:val="left" w:pos="540"/>
              </w:tabs>
              <w:spacing w:line="360" w:lineRule="auto"/>
              <w:ind w:firstLineChars="0"/>
              <w:rPr>
                <w:rFonts w:ascii="宋体"/>
                <w:b/>
                <w:color w:val="000000"/>
                <w:sz w:val="21"/>
                <w:szCs w:val="21"/>
              </w:rPr>
            </w:pPr>
            <w:r>
              <w:rPr>
                <w:rFonts w:hint="eastAsia" w:ascii="宋体" w:hAnsi="宋体"/>
                <w:b/>
                <w:color w:val="000000"/>
                <w:sz w:val="21"/>
                <w:szCs w:val="21"/>
              </w:rPr>
              <w:t>法律法规要求及时更新了：是</w:t>
            </w:r>
          </w:p>
          <w:p>
            <w:pPr>
              <w:tabs>
                <w:tab w:val="left" w:pos="0"/>
              </w:tabs>
              <w:spacing w:line="24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300" w:lineRule="exact"/>
              <w:rPr>
                <w:rFonts w:hint="eastAsia" w:ascii="宋体" w:hAnsi="宋体" w:eastAsia="宋体" w:cs="宋体"/>
                <w:b/>
                <w:sz w:val="21"/>
                <w:szCs w:val="21"/>
              </w:rPr>
            </w:pPr>
            <w:r>
              <w:rPr>
                <w:rFonts w:hint="eastAsia" w:ascii="宋体" w:hAnsi="宋体" w:eastAsia="宋体" w:cs="宋体"/>
                <w:b/>
                <w:sz w:val="21"/>
                <w:szCs w:val="21"/>
              </w:rPr>
              <w:t>5. 目标、方案</w:t>
            </w:r>
          </w:p>
          <w:p>
            <w:pPr>
              <w:spacing w:line="300" w:lineRule="exact"/>
              <w:rPr>
                <w:rFonts w:hint="eastAsia" w:ascii="宋体" w:hAnsi="宋体" w:eastAsia="宋体" w:cs="宋体"/>
                <w:b/>
                <w:sz w:val="21"/>
                <w:szCs w:val="21"/>
              </w:rPr>
            </w:pPr>
            <w:r>
              <w:rPr>
                <w:rFonts w:hint="eastAsia" w:ascii="宋体" w:hAnsi="宋体" w:eastAsia="宋体" w:cs="宋体"/>
                <w:b/>
                <w:sz w:val="21"/>
                <w:szCs w:val="21"/>
              </w:rPr>
              <w:t>（在相关层次上建立可测量的目标，目标、方案的有效性，对质量目标的实现情况进行评价并叙述测量方法）</w:t>
            </w:r>
          </w:p>
          <w:p>
            <w:pPr>
              <w:tabs>
                <w:tab w:val="center" w:pos="3169"/>
              </w:tabs>
              <w:spacing w:line="360" w:lineRule="auto"/>
              <w:jc w:val="left"/>
              <w:rPr>
                <w:rFonts w:hint="eastAsia" w:ascii="宋体" w:hAnsi="宋体" w:cs="宋体"/>
                <w:sz w:val="21"/>
                <w:szCs w:val="21"/>
                <w:lang w:bidi="ar"/>
              </w:rPr>
            </w:pPr>
            <w:r>
              <w:rPr>
                <w:rFonts w:hint="eastAsia" w:ascii="宋体" w:hAnsi="宋体" w:cs="宋体"/>
                <w:sz w:val="21"/>
                <w:szCs w:val="21"/>
                <w:lang w:bidi="ar"/>
              </w:rPr>
              <w:t>1、质量目标</w:t>
            </w:r>
          </w:p>
          <w:p>
            <w:pPr>
              <w:tabs>
                <w:tab w:val="center" w:pos="3169"/>
              </w:tabs>
              <w:spacing w:line="360" w:lineRule="auto"/>
              <w:jc w:val="left"/>
              <w:rPr>
                <w:rFonts w:hint="eastAsia" w:ascii="宋体" w:hAnsi="宋体" w:cs="宋体"/>
                <w:sz w:val="21"/>
                <w:szCs w:val="21"/>
                <w:lang w:bidi="ar"/>
              </w:rPr>
            </w:pPr>
            <w:r>
              <w:rPr>
                <w:rFonts w:hint="eastAsia" w:ascii="宋体" w:hAnsi="宋体" w:cs="宋体"/>
                <w:sz w:val="21"/>
                <w:szCs w:val="21"/>
                <w:lang w:bidi="ar"/>
              </w:rPr>
              <w:t>1）文件发放准确率100%；2）培训计划完成率100%；3）顾客满意率：</w:t>
            </w:r>
            <w:r>
              <w:rPr>
                <w:rFonts w:ascii="宋体" w:hAnsi="宋体" w:cs="宋体"/>
                <w:sz w:val="21"/>
                <w:szCs w:val="21"/>
                <w:lang w:bidi="ar"/>
              </w:rPr>
              <w:t>≥</w:t>
            </w:r>
            <w:r>
              <w:rPr>
                <w:rFonts w:hint="eastAsia" w:ascii="宋体" w:hAnsi="宋体" w:cs="宋体"/>
                <w:sz w:val="21"/>
                <w:szCs w:val="21"/>
                <w:lang w:bidi="ar"/>
              </w:rPr>
              <w:t>90%</w:t>
            </w:r>
          </w:p>
          <w:p>
            <w:pPr>
              <w:tabs>
                <w:tab w:val="center" w:pos="3169"/>
              </w:tabs>
              <w:spacing w:line="360" w:lineRule="auto"/>
              <w:jc w:val="left"/>
              <w:rPr>
                <w:rFonts w:hint="eastAsia" w:ascii="宋体" w:hAnsi="宋体" w:cs="宋体"/>
                <w:sz w:val="21"/>
                <w:szCs w:val="21"/>
                <w:lang w:bidi="ar"/>
              </w:rPr>
            </w:pPr>
            <w:r>
              <w:rPr>
                <w:rFonts w:hint="eastAsia" w:ascii="宋体" w:hAnsi="宋体" w:cs="宋体"/>
                <w:sz w:val="21"/>
                <w:szCs w:val="21"/>
                <w:lang w:bidi="ar"/>
              </w:rPr>
              <w:t>4）合同履约率：</w:t>
            </w:r>
            <w:r>
              <w:rPr>
                <w:rFonts w:ascii="宋体" w:hAnsi="宋体" w:cs="宋体"/>
                <w:sz w:val="21"/>
                <w:szCs w:val="21"/>
                <w:lang w:bidi="ar"/>
              </w:rPr>
              <w:t>≥</w:t>
            </w:r>
            <w:r>
              <w:rPr>
                <w:rFonts w:hint="eastAsia" w:ascii="宋体" w:hAnsi="宋体" w:cs="宋体"/>
                <w:sz w:val="21"/>
                <w:szCs w:val="21"/>
                <w:lang w:bidi="ar"/>
              </w:rPr>
              <w:t>98%</w:t>
            </w:r>
          </w:p>
          <w:p>
            <w:pPr>
              <w:tabs>
                <w:tab w:val="center" w:pos="3169"/>
              </w:tabs>
              <w:spacing w:line="360" w:lineRule="auto"/>
              <w:jc w:val="left"/>
              <w:rPr>
                <w:rFonts w:hint="eastAsia" w:ascii="宋体" w:hAnsi="宋体" w:cs="宋体"/>
                <w:sz w:val="21"/>
                <w:szCs w:val="21"/>
                <w:lang w:bidi="ar"/>
              </w:rPr>
            </w:pPr>
            <w:r>
              <w:rPr>
                <w:rFonts w:hint="eastAsia" w:ascii="宋体" w:hAnsi="宋体" w:cs="宋体"/>
                <w:sz w:val="21"/>
                <w:szCs w:val="21"/>
                <w:lang w:bidi="ar"/>
              </w:rPr>
              <w:t>2、环境、职业健康安全目标</w:t>
            </w:r>
          </w:p>
          <w:p>
            <w:pPr>
              <w:tabs>
                <w:tab w:val="center" w:pos="3169"/>
              </w:tabs>
              <w:spacing w:line="360" w:lineRule="auto"/>
              <w:jc w:val="left"/>
              <w:rPr>
                <w:rFonts w:hint="eastAsia" w:ascii="宋体" w:hAnsi="宋体" w:cs="宋体"/>
                <w:sz w:val="21"/>
                <w:szCs w:val="21"/>
                <w:lang w:bidi="ar"/>
              </w:rPr>
            </w:pPr>
            <w:r>
              <w:rPr>
                <w:rFonts w:hint="eastAsia" w:ascii="宋体" w:hAnsi="宋体" w:cs="宋体"/>
                <w:sz w:val="21"/>
                <w:szCs w:val="21"/>
                <w:lang w:bidi="ar"/>
              </w:rPr>
              <w:t>1）固体废弃物回收处理率100%；2）安全资金到位及时率100%</w:t>
            </w:r>
            <w:r>
              <w:rPr>
                <w:rFonts w:hint="eastAsia" w:ascii="宋体" w:hAnsi="宋体" w:cs="宋体"/>
                <w:sz w:val="21"/>
                <w:szCs w:val="21"/>
                <w:lang w:eastAsia="zh-CN" w:bidi="ar"/>
              </w:rPr>
              <w:t>；</w:t>
            </w:r>
            <w:r>
              <w:rPr>
                <w:rFonts w:hint="eastAsia" w:ascii="宋体" w:hAnsi="宋体" w:cs="宋体"/>
                <w:sz w:val="21"/>
                <w:szCs w:val="21"/>
                <w:lang w:bidi="ar"/>
              </w:rPr>
              <w:t>3）员工全部参加安全消防知识培训</w:t>
            </w:r>
            <w:r>
              <w:rPr>
                <w:rFonts w:ascii="宋体" w:hAnsi="宋体" w:cs="宋体"/>
                <w:sz w:val="21"/>
                <w:szCs w:val="21"/>
                <w:lang w:bidi="ar"/>
              </w:rPr>
              <w:t>≥</w:t>
            </w:r>
            <w:r>
              <w:rPr>
                <w:rFonts w:hint="eastAsia" w:ascii="宋体" w:hAnsi="宋体" w:cs="宋体"/>
                <w:sz w:val="21"/>
                <w:szCs w:val="21"/>
                <w:lang w:bidi="ar"/>
              </w:rPr>
              <w:t>6小时/年</w:t>
            </w:r>
            <w:r>
              <w:rPr>
                <w:rFonts w:hint="eastAsia" w:ascii="宋体" w:hAnsi="宋体" w:cs="宋体"/>
                <w:sz w:val="21"/>
                <w:szCs w:val="21"/>
                <w:lang w:eastAsia="zh-CN" w:bidi="ar"/>
              </w:rPr>
              <w:t>；</w:t>
            </w:r>
            <w:r>
              <w:rPr>
                <w:rFonts w:hint="eastAsia" w:ascii="宋体" w:hAnsi="宋体" w:cs="宋体"/>
                <w:sz w:val="21"/>
                <w:szCs w:val="21"/>
                <w:lang w:bidi="ar"/>
              </w:rPr>
              <w:t>4）重要安全岗位人员能力评价率100%</w:t>
            </w:r>
          </w:p>
          <w:p>
            <w:pPr>
              <w:tabs>
                <w:tab w:val="center" w:pos="3169"/>
              </w:tabs>
              <w:spacing w:line="360" w:lineRule="auto"/>
              <w:jc w:val="left"/>
              <w:rPr>
                <w:rFonts w:hint="eastAsia" w:ascii="宋体" w:hAnsi="宋体" w:cs="宋体"/>
                <w:sz w:val="21"/>
                <w:szCs w:val="21"/>
                <w:lang w:eastAsia="zh-CN" w:bidi="ar"/>
              </w:rPr>
            </w:pPr>
            <w:r>
              <w:rPr>
                <w:rFonts w:hint="eastAsia" w:ascii="宋体" w:hAnsi="宋体" w:cs="宋体"/>
                <w:sz w:val="21"/>
                <w:szCs w:val="21"/>
                <w:lang w:bidi="ar"/>
              </w:rPr>
              <w:t>抽查201</w:t>
            </w:r>
            <w:r>
              <w:rPr>
                <w:rFonts w:hint="eastAsia" w:ascii="宋体" w:hAnsi="宋体" w:cs="宋体"/>
                <w:sz w:val="21"/>
                <w:szCs w:val="21"/>
                <w:lang w:val="en-US" w:eastAsia="zh-CN" w:bidi="ar"/>
              </w:rPr>
              <w:t>9</w:t>
            </w:r>
            <w:r>
              <w:rPr>
                <w:rFonts w:hint="eastAsia" w:ascii="宋体" w:hAnsi="宋体" w:cs="宋体"/>
                <w:sz w:val="21"/>
                <w:szCs w:val="21"/>
                <w:lang w:bidi="ar"/>
              </w:rPr>
              <w:t>年12月的《部门目标分解及统计表》和考核记录，经考核均完成目标任务</w:t>
            </w:r>
            <w:r>
              <w:rPr>
                <w:rFonts w:hint="eastAsia" w:ascii="宋体" w:hAnsi="宋体" w:cs="宋体"/>
                <w:sz w:val="21"/>
                <w:szCs w:val="21"/>
                <w:lang w:eastAsia="zh-CN" w:bidi="ar"/>
              </w:rPr>
              <w:t>。</w:t>
            </w:r>
          </w:p>
          <w:p>
            <w:pPr>
              <w:tabs>
                <w:tab w:val="center" w:pos="3169"/>
              </w:tabs>
              <w:spacing w:line="360" w:lineRule="auto"/>
              <w:jc w:val="left"/>
              <w:rPr>
                <w:rFonts w:hint="eastAsia" w:ascii="宋体" w:hAnsi="宋体" w:cs="宋体"/>
                <w:sz w:val="21"/>
                <w:szCs w:val="21"/>
                <w:lang w:bidi="ar"/>
              </w:rPr>
            </w:pPr>
            <w:r>
              <w:rPr>
                <w:rFonts w:hint="eastAsia" w:ascii="宋体" w:hAnsi="宋体" w:cs="宋体"/>
                <w:sz w:val="21"/>
                <w:szCs w:val="21"/>
                <w:lang w:bidi="ar"/>
              </w:rPr>
              <w:t>公司制定的环境、职业健康安全管理方案有：潜在火灾管理方案、固废排放等2个管理方案。管理方案内容涉及：指标、控制措施、资金安排、完成日期、责任部门。</w:t>
            </w:r>
          </w:p>
          <w:p>
            <w:pPr>
              <w:tabs>
                <w:tab w:val="center" w:pos="3169"/>
              </w:tabs>
              <w:spacing w:line="360" w:lineRule="auto"/>
              <w:jc w:val="left"/>
              <w:rPr>
                <w:rFonts w:hint="eastAsia" w:ascii="宋体" w:hAnsi="宋体" w:eastAsia="宋体" w:cs="宋体"/>
                <w:b/>
                <w:sz w:val="21"/>
                <w:szCs w:val="21"/>
              </w:rPr>
            </w:pPr>
            <w:r>
              <w:rPr>
                <w:rFonts w:hint="eastAsia" w:ascii="宋体" w:hAnsi="宋体" w:cs="宋体"/>
                <w:sz w:val="21"/>
                <w:szCs w:val="21"/>
                <w:lang w:bidi="ar"/>
              </w:rPr>
              <w:t>抽查：潜在火灾管理方案控制措施：1）安全、消防知识学习；2）更换接线插座；3）定期巡检电路；4）购买安全标识张贴；5）消防演习每年至少一次。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6. 文件与记录控制(文审修订后文件与标准的符合程度评价、文件控制管理等)</w:t>
            </w:r>
          </w:p>
          <w:p>
            <w:pPr>
              <w:tabs>
                <w:tab w:val="left" w:pos="540"/>
              </w:tabs>
              <w:spacing w:line="360" w:lineRule="auto"/>
              <w:rPr>
                <w:rFonts w:hint="eastAsia" w:ascii="宋体" w:hAnsi="宋体" w:eastAsia="宋体" w:cs="宋体"/>
                <w:b/>
                <w:sz w:val="21"/>
                <w:szCs w:val="21"/>
              </w:rPr>
            </w:pPr>
            <w:r>
              <w:rPr>
                <w:rFonts w:hint="eastAsia" w:ascii="宋体" w:hAnsi="宋体" w:eastAsia="宋体" w:cs="宋体"/>
                <w:b w:val="0"/>
                <w:bCs/>
                <w:sz w:val="21"/>
                <w:szCs w:val="21"/>
              </w:rPr>
              <w:t>质量环境职业健康安全管理体系手册、程序文件，体系文件，生效实施日期为2018年10月6日，没有更改，《文件和记录控制程序》规定了质量、环境和安全职业健康文件的编制、审批、评审、编号、回收、发放、更改、换版、作废等的管理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rFonts w:hint="eastAsia"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(二)资源评价</w:t>
            </w: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人力资源的简要说明.:</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公司制定了《人力资源控制程序》，通过培训和其他措施提高员工的能力，增强员工的质量、环境与职业健康安全管理的意识，并胜任其工作岗位。使员工满足所从事的质量、环境、职业健康安全工作对能力的要求。</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提供《岗位职责和任职要求》，对各部门领导层、办公室、</w:t>
            </w:r>
            <w:r>
              <w:rPr>
                <w:rFonts w:hint="eastAsia" w:ascii="宋体" w:hAnsi="宋体" w:eastAsia="宋体" w:cs="宋体"/>
                <w:b w:val="0"/>
                <w:bCs/>
                <w:sz w:val="21"/>
                <w:szCs w:val="21"/>
                <w:lang w:val="en-US" w:eastAsia="zh-CN"/>
              </w:rPr>
              <w:t>设计人员、</w:t>
            </w:r>
            <w:r>
              <w:rPr>
                <w:rFonts w:hint="eastAsia" w:ascii="宋体" w:hAnsi="宋体" w:eastAsia="宋体" w:cs="宋体"/>
                <w:b w:val="0"/>
                <w:bCs/>
                <w:kern w:val="2"/>
                <w:sz w:val="21"/>
                <w:szCs w:val="21"/>
                <w:lang w:val="en-US" w:eastAsia="zh-CN" w:bidi="ar-SA"/>
              </w:rPr>
              <w:t>测绘</w:t>
            </w:r>
            <w:r>
              <w:rPr>
                <w:rFonts w:hint="eastAsia" w:ascii="宋体" w:hAnsi="宋体" w:eastAsia="宋体" w:cs="宋体"/>
                <w:b w:val="0"/>
                <w:bCs/>
                <w:sz w:val="21"/>
                <w:szCs w:val="21"/>
                <w:lang w:val="en-US" w:eastAsia="zh-CN"/>
              </w:rPr>
              <w:t>人员等</w:t>
            </w:r>
            <w:r>
              <w:rPr>
                <w:rFonts w:hint="eastAsia" w:ascii="宋体" w:hAnsi="宋体" w:eastAsia="宋体" w:cs="宋体"/>
                <w:b w:val="0"/>
                <w:bCs/>
                <w:sz w:val="21"/>
                <w:szCs w:val="21"/>
              </w:rPr>
              <w:t>负责人岗位能力工作权限与内容、任职资格（经验知识个人素质、专业技能）的等作出了规定。</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提供《人员考核记录表》，其中包括：总经理、管代、各部门负责人、专业人员、职业健康安全事务代表等。能够满足公司QEO管理体系运行以及体系覆盖产品和服务的需求</w:t>
            </w:r>
          </w:p>
          <w:p>
            <w:pPr>
              <w:spacing w:line="360" w:lineRule="auto"/>
              <w:rPr>
                <w:rFonts w:hint="eastAsia" w:ascii="宋体" w:hAnsi="宋体" w:eastAsia="宋体" w:cs="宋体"/>
                <w:b/>
                <w:sz w:val="21"/>
                <w:szCs w:val="21"/>
              </w:rPr>
            </w:pPr>
            <w:r>
              <w:rPr>
                <w:rFonts w:hint="eastAsia" w:ascii="宋体" w:hAnsi="宋体" w:eastAsia="宋体" w:cs="宋体"/>
                <w:b w:val="0"/>
                <w:bCs/>
                <w:sz w:val="21"/>
                <w:szCs w:val="21"/>
              </w:rPr>
              <w:t>公司有</w:t>
            </w:r>
            <w:r>
              <w:rPr>
                <w:rFonts w:hint="eastAsia"/>
                <w:sz w:val="21"/>
                <w:szCs w:val="21"/>
                <w:lang w:val="en-US" w:eastAsia="zh-CN"/>
              </w:rPr>
              <w:t xml:space="preserve"> </w:t>
            </w:r>
            <w:r>
              <w:rPr>
                <w:rFonts w:hint="eastAsia"/>
                <w:sz w:val="21"/>
                <w:szCs w:val="21"/>
              </w:rPr>
              <w:t>高级工程师</w:t>
            </w:r>
            <w:r>
              <w:rPr>
                <w:rFonts w:hint="eastAsia"/>
                <w:sz w:val="21"/>
                <w:szCs w:val="21"/>
                <w:lang w:val="en-US" w:eastAsia="zh-CN"/>
              </w:rPr>
              <w:t xml:space="preserve"> 、工程师 、</w:t>
            </w:r>
            <w:r>
              <w:rPr>
                <w:rFonts w:hint="eastAsia"/>
                <w:sz w:val="21"/>
                <w:szCs w:val="21"/>
              </w:rPr>
              <w:t>助理工程师</w:t>
            </w:r>
            <w:r>
              <w:rPr>
                <w:rFonts w:hint="eastAsia"/>
                <w:sz w:val="21"/>
                <w:szCs w:val="21"/>
                <w:lang w:val="en-US" w:eastAsia="zh-CN"/>
              </w:rPr>
              <w:t>及测绘</w:t>
            </w:r>
            <w:r>
              <w:rPr>
                <w:rFonts w:hint="eastAsia"/>
                <w:sz w:val="21"/>
                <w:szCs w:val="21"/>
                <w:lang w:eastAsia="zh-CN"/>
              </w:rPr>
              <w:t>、</w:t>
            </w:r>
            <w:r>
              <w:rPr>
                <w:rFonts w:hint="eastAsia"/>
                <w:sz w:val="21"/>
                <w:szCs w:val="21"/>
                <w:lang w:val="en-US" w:eastAsia="zh-CN"/>
              </w:rPr>
              <w:t>规划的专业</w:t>
            </w:r>
            <w:r>
              <w:rPr>
                <w:rFonts w:hint="eastAsia" w:ascii="宋体" w:hAnsi="宋体" w:eastAsia="宋体" w:cs="宋体"/>
                <w:b w:val="0"/>
                <w:bCs/>
                <w:sz w:val="21"/>
                <w:szCs w:val="21"/>
              </w:rPr>
              <w:t>人员人员均经过专业培训。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 w:val="21"/>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设备设施（包括信息系统）、</w:t>
            </w:r>
          </w:p>
          <w:p>
            <w:pPr>
              <w:spacing w:line="360" w:lineRule="auto"/>
              <w:rPr>
                <w:rFonts w:hint="eastAsia" w:ascii="宋体" w:hAnsi="宋体" w:eastAsia="宋体" w:cs="宋体"/>
                <w:b/>
                <w:sz w:val="21"/>
                <w:szCs w:val="21"/>
                <w:lang w:eastAsia="zh-CN"/>
              </w:rPr>
            </w:pPr>
            <w:r>
              <w:rPr>
                <w:rFonts w:hint="eastAsia" w:ascii="宋体" w:hAnsi="宋体" w:cs="宋体"/>
                <w:sz w:val="21"/>
                <w:szCs w:val="21"/>
                <w:lang w:val="en-US" w:eastAsia="zh-CN"/>
              </w:rPr>
              <w:t xml:space="preserve"> </w:t>
            </w:r>
            <w:r>
              <w:rPr>
                <w:rFonts w:hint="eastAsia" w:ascii="宋体" w:hAnsi="宋体" w:cs="宋体"/>
                <w:sz w:val="21"/>
                <w:szCs w:val="21"/>
              </w:rPr>
              <w:t>主要设备包括：电脑、打印机、图像编辑计算机、信息处理软件、卫星系统接收机、全站仪、无人飞行器、空调、办公桌等设施</w:t>
            </w:r>
            <w:r>
              <w:rPr>
                <w:rFonts w:hint="eastAsia" w:ascii="宋体" w:hAnsi="宋体" w:cs="宋体"/>
                <w:sz w:val="21"/>
                <w:szCs w:val="21"/>
                <w:lang w:eastAsia="zh-CN"/>
              </w:rPr>
              <w:t>。</w:t>
            </w:r>
          </w:p>
          <w:p>
            <w:pPr>
              <w:spacing w:line="24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 w:val="21"/>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过程运行环境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办公环境光照、温度适宜，通风良好，电路布线合理、电气插座完整，未见破损，办公场所物品摆放整齐、有序，未见随意乱放私人物品的情况，未见用电不当等安全隐患及不良影响现象。</w:t>
            </w:r>
          </w:p>
          <w:p>
            <w:pPr>
              <w:spacing w:line="360" w:lineRule="auto"/>
              <w:rPr>
                <w:rFonts w:hint="eastAsia" w:ascii="宋体" w:hAnsi="宋体" w:eastAsia="宋体" w:cs="宋体"/>
                <w:b/>
                <w:sz w:val="21"/>
                <w:szCs w:val="21"/>
              </w:rPr>
            </w:pPr>
            <w:r>
              <w:rPr>
                <w:rFonts w:hint="eastAsia" w:ascii="宋体" w:hAnsi="宋体" w:eastAsia="宋体" w:cs="宋体"/>
                <w:sz w:val="21"/>
                <w:szCs w:val="21"/>
              </w:rPr>
              <w:t>工作环境满足</w:t>
            </w:r>
            <w:r>
              <w:rPr>
                <w:rFonts w:hint="eastAsia" w:ascii="宋体" w:hAnsi="宋体" w:eastAsia="宋体" w:cs="宋体"/>
                <w:sz w:val="21"/>
                <w:szCs w:val="21"/>
                <w:lang w:val="en-US" w:eastAsia="zh-CN"/>
              </w:rPr>
              <w:t>土地规划设计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土地调查</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资质内的测绘服务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计算机应用软件的开发</w:t>
            </w:r>
            <w:r>
              <w:rPr>
                <w:rFonts w:hint="eastAsia" w:ascii="宋体" w:hAnsi="宋体" w:eastAsia="宋体" w:cs="宋体"/>
                <w:sz w:val="21"/>
                <w:szCs w:val="21"/>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 w:val="21"/>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监视和测量资源</w:t>
            </w:r>
          </w:p>
          <w:p>
            <w:pPr>
              <w:spacing w:line="360" w:lineRule="auto"/>
              <w:rPr>
                <w:rFonts w:hint="eastAsia" w:ascii="宋体" w:hAnsi="宋体" w:eastAsia="宋体" w:cs="宋体"/>
                <w:b/>
                <w:sz w:val="21"/>
                <w:szCs w:val="21"/>
              </w:rPr>
            </w:pPr>
            <w:r>
              <w:rPr>
                <w:rFonts w:hint="eastAsia" w:ascii="宋体" w:hAnsi="宋体" w:cs="宋体"/>
                <w:sz w:val="21"/>
                <w:szCs w:val="21"/>
              </w:rPr>
              <w:t>根据业务需求配置了相应的检测设备，包括水准仪、GPS接收机、全站仪、手持测距仪等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 w:val="21"/>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知识</w:t>
            </w:r>
          </w:p>
          <w:p>
            <w:pPr>
              <w:tabs>
                <w:tab w:val="center" w:pos="3169"/>
              </w:tabs>
              <w:spacing w:line="360" w:lineRule="auto"/>
              <w:ind w:firstLine="420" w:firstLineChars="200"/>
              <w:jc w:val="left"/>
              <w:rPr>
                <w:rFonts w:ascii="Calibri" w:hAnsi="宋体" w:cs="宋体"/>
                <w:sz w:val="21"/>
                <w:szCs w:val="21"/>
                <w:lang w:bidi="ar"/>
              </w:rPr>
            </w:pPr>
            <w:r>
              <w:rPr>
                <w:rFonts w:hint="eastAsia" w:ascii="Calibri" w:hAnsi="宋体" w:cs="宋体"/>
                <w:sz w:val="21"/>
                <w:szCs w:val="21"/>
                <w:lang w:bidi="ar"/>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spacing w:line="360" w:lineRule="auto"/>
              <w:rPr>
                <w:rFonts w:hint="eastAsia" w:ascii="宋体" w:hAnsi="宋体" w:eastAsia="宋体" w:cs="宋体"/>
                <w:b/>
                <w:sz w:val="21"/>
                <w:szCs w:val="21"/>
              </w:rPr>
            </w:pPr>
            <w:r>
              <w:rPr>
                <w:rFonts w:hint="eastAsia" w:ascii="Calibri" w:hAnsi="宋体" w:cs="宋体"/>
                <w:sz w:val="21"/>
                <w:szCs w:val="21"/>
                <w:lang w:bidi="ar"/>
              </w:rPr>
              <w:t xml:space="preserve">  公司明确组织知识作为公司的重要资源，按内部文件或外来文件予以受控管理包括必要的分级保密措施。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 w:val="21"/>
                <w:szCs w:val="21"/>
              </w:rPr>
            </w:pPr>
          </w:p>
        </w:tc>
        <w:tc>
          <w:tcPr>
            <w:tcW w:w="9198" w:type="dxa"/>
          </w:tcPr>
          <w:p>
            <w:pPr>
              <w:spacing w:line="240" w:lineRule="exact"/>
              <w:rPr>
                <w:rFonts w:hint="eastAsia" w:ascii="宋体" w:hAnsi="宋体" w:eastAsia="宋体" w:cs="宋体"/>
                <w:b/>
                <w:sz w:val="21"/>
                <w:szCs w:val="21"/>
              </w:rPr>
            </w:pPr>
            <w:r>
              <w:rPr>
                <w:rFonts w:hint="eastAsia" w:ascii="宋体" w:hAnsi="宋体" w:eastAsia="宋体" w:cs="宋体"/>
                <w:b/>
                <w:sz w:val="21"/>
                <w:szCs w:val="21"/>
              </w:rPr>
              <w:t>环保设施：</w:t>
            </w: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r>
              <w:rPr>
                <w:rFonts w:hint="eastAsia" w:ascii="Times New Roman" w:hAnsi="Times New Roman" w:eastAsia="宋体" w:cs="Times New Roman"/>
                <w:b w:val="0"/>
                <w:bCs w:val="0"/>
                <w:kern w:val="2"/>
                <w:sz w:val="21"/>
                <w:szCs w:val="22"/>
                <w:lang w:val="en-US" w:eastAsia="zh-CN" w:bidi="ar-SA"/>
              </w:rPr>
              <w:t>环保设备配置:</w:t>
            </w:r>
            <w:r>
              <w:rPr>
                <w:rFonts w:hint="eastAsia" w:cs="Times New Roman"/>
                <w:b w:val="0"/>
                <w:bCs w:val="0"/>
                <w:kern w:val="2"/>
                <w:sz w:val="21"/>
                <w:szCs w:val="22"/>
                <w:lang w:val="en-US" w:eastAsia="zh-CN" w:bidi="ar-SA"/>
              </w:rPr>
              <w:t>分类垃圾桶、</w:t>
            </w:r>
            <w:r>
              <w:rPr>
                <w:rFonts w:hint="eastAsia" w:ascii="Times New Roman" w:hAnsi="Times New Roman" w:eastAsia="宋体" w:cs="Times New Roman"/>
                <w:b w:val="0"/>
                <w:bCs w:val="0"/>
                <w:kern w:val="2"/>
                <w:sz w:val="21"/>
                <w:szCs w:val="22"/>
                <w:lang w:val="en-US" w:eastAsia="zh-CN" w:bidi="ar-SA"/>
              </w:rPr>
              <w:t>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 w:val="21"/>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职业健康安全设施：</w:t>
            </w:r>
          </w:p>
          <w:p>
            <w:pPr>
              <w:spacing w:line="360" w:lineRule="auto"/>
              <w:rPr>
                <w:rFonts w:hint="eastAsia" w:ascii="宋体" w:hAnsi="宋体" w:eastAsia="宋体" w:cs="宋体"/>
                <w:sz w:val="21"/>
                <w:szCs w:val="21"/>
              </w:rPr>
            </w:pPr>
            <w:r>
              <w:rPr>
                <w:rFonts w:hint="eastAsia" w:ascii="宋体" w:hAnsi="宋体" w:eastAsia="宋体" w:cs="宋体"/>
                <w:sz w:val="21"/>
                <w:szCs w:val="21"/>
              </w:rPr>
              <w:t>安全设施配置:灭火器、消防器材、标识牌等。</w:t>
            </w:r>
          </w:p>
          <w:p>
            <w:pPr>
              <w:spacing w:line="360" w:lineRule="auto"/>
              <w:rPr>
                <w:rFonts w:hint="eastAsia" w:ascii="宋体" w:hAnsi="宋体" w:eastAsia="宋体" w:cs="宋体"/>
                <w:b/>
                <w:sz w:val="21"/>
                <w:szCs w:val="21"/>
              </w:rPr>
            </w:pPr>
            <w:r>
              <w:rPr>
                <w:rFonts w:hint="eastAsia" w:ascii="宋体" w:hAnsi="宋体" w:eastAsia="宋体" w:cs="宋体"/>
                <w:b w:val="0"/>
                <w:bCs w:val="0"/>
                <w:kern w:val="2"/>
                <w:sz w:val="21"/>
                <w:szCs w:val="21"/>
                <w:lang w:val="en-US" w:eastAsia="zh-CN" w:bidi="ar-SA"/>
              </w:rPr>
              <w:t>公司办公区域未配备消防器材，已开具不符合。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jc w:val="center"/>
        </w:trPr>
        <w:tc>
          <w:tcPr>
            <w:tcW w:w="720" w:type="dxa"/>
            <w:vMerge w:val="restart"/>
            <w:textDirection w:val="tbRlV"/>
            <w:vAlign w:val="center"/>
          </w:tcPr>
          <w:p>
            <w:pPr>
              <w:spacing w:line="240" w:lineRule="exact"/>
              <w:ind w:left="113" w:right="113"/>
              <w:jc w:val="center"/>
              <w:rPr>
                <w:rFonts w:hint="eastAsia" w:ascii="宋体" w:hAnsi="宋体" w:eastAsia="宋体" w:cs="宋体"/>
                <w:b/>
                <w:sz w:val="21"/>
                <w:szCs w:val="21"/>
              </w:rPr>
            </w:pPr>
            <w:r>
              <w:rPr>
                <w:rFonts w:hint="eastAsia" w:ascii="宋体" w:hAnsi="宋体" w:eastAsia="宋体" w:cs="宋体"/>
                <w:b/>
                <w:sz w:val="21"/>
                <w:szCs w:val="21"/>
              </w:rPr>
              <w:t>(三)体系运行情况</w:t>
            </w: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1. 针对方针的管理职责评审</w:t>
            </w:r>
          </w:p>
          <w:p>
            <w:pPr>
              <w:spacing w:line="360" w:lineRule="auto"/>
              <w:ind w:left="1"/>
              <w:rPr>
                <w:rFonts w:hint="eastAsia"/>
              </w:rPr>
            </w:pPr>
            <w:r>
              <w:rPr>
                <w:rFonts w:hint="eastAsia" w:ascii="宋体" w:hAnsi="宋体" w:eastAsia="宋体" w:cs="宋体"/>
                <w:b/>
                <w:sz w:val="21"/>
                <w:szCs w:val="21"/>
              </w:rPr>
              <w:t>（包括针对组织宗旨，制定相关管理方针政策、确保方针为员工理解并在运营中实施，监视方针的实施并评审方针的适宜性）</w:t>
            </w:r>
          </w:p>
          <w:p>
            <w:pPr>
              <w:spacing w:line="360" w:lineRule="auto"/>
              <w:ind w:left="1"/>
              <w:rPr>
                <w:rFonts w:hint="eastAsia" w:ascii="宋体" w:hAnsi="宋体" w:eastAsia="宋体" w:cs="宋体"/>
                <w:b/>
                <w:sz w:val="21"/>
                <w:szCs w:val="21"/>
              </w:rPr>
            </w:pPr>
            <w:r>
              <w:rPr>
                <w:rFonts w:hint="eastAsia" w:ascii="Times New Roman" w:hAnsi="Times New Roman" w:eastAsia="宋体" w:cs="Times New Roman"/>
                <w:b w:val="0"/>
                <w:bCs w:val="0"/>
                <w:kern w:val="2"/>
                <w:sz w:val="21"/>
                <w:szCs w:val="24"/>
                <w:lang w:val="en-US" w:eastAsia="zh-CN" w:bidi="ar-SA"/>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360" w:lineRule="auto"/>
              <w:ind w:left="167" w:hanging="167" w:hangingChars="79"/>
              <w:rPr>
                <w:rFonts w:hint="eastAsia" w:ascii="宋体" w:hAnsi="宋体" w:eastAsia="宋体" w:cs="宋体"/>
                <w:b/>
                <w:sz w:val="21"/>
                <w:szCs w:val="21"/>
              </w:rPr>
            </w:pPr>
            <w:r>
              <w:rPr>
                <w:rFonts w:hint="eastAsia" w:ascii="宋体" w:hAnsi="宋体" w:eastAsia="宋体" w:cs="宋体"/>
                <w:b/>
                <w:sz w:val="21"/>
                <w:szCs w:val="21"/>
              </w:rPr>
              <w:t>2. 组织内部沟通的充分性与效果；（OHSMS员工参与风险管理/健康安全事务的关心和影响力；组织对外联络关注顾客的感受情况、信息交流包括通报相关方的情况等）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sz w:val="21"/>
                <w:szCs w:val="21"/>
              </w:rPr>
              <w:t>培训、会议；</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内部沟通的效果：</w:t>
            </w:r>
            <w:r>
              <w:rPr>
                <w:rFonts w:hint="eastAsia" w:ascii="宋体" w:hAnsi="宋体" w:eastAsia="宋体" w:cs="宋体"/>
                <w:sz w:val="21"/>
                <w:szCs w:val="21"/>
              </w:rPr>
              <w:t>沟通畅通；</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sz w:val="21"/>
                <w:szCs w:val="21"/>
              </w:rPr>
              <w:t>定期组织顾客满意度调查和走访。</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r>
              <w:rPr>
                <w:rFonts w:hint="eastAsia" w:ascii="宋体" w:hAnsi="宋体" w:eastAsia="宋体" w:cs="宋体"/>
                <w:sz w:val="21"/>
                <w:szCs w:val="21"/>
              </w:rPr>
              <w:t>参加相关部门组织的会议，接收相关部门下达的通知并在公司内部沟通传达。</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r>
              <w:rPr>
                <w:rFonts w:hint="eastAsia" w:ascii="宋体" w:hAnsi="宋体" w:eastAsia="宋体" w:cs="宋体"/>
                <w:sz w:val="21"/>
                <w:szCs w:val="21"/>
              </w:rPr>
              <w:t>对供方进行了环保告知。</w:t>
            </w:r>
          </w:p>
          <w:p>
            <w:pPr>
              <w:spacing w:line="360" w:lineRule="auto"/>
              <w:rPr>
                <w:rFonts w:hint="eastAsia" w:ascii="宋体" w:hAnsi="宋体" w:eastAsia="宋体" w:cs="宋体"/>
                <w:sz w:val="21"/>
                <w:szCs w:val="21"/>
              </w:rPr>
            </w:pPr>
            <w:r>
              <w:rPr>
                <w:rFonts w:hint="eastAsia" w:ascii="宋体" w:hAnsi="宋体" w:eastAsia="宋体" w:cs="宋体"/>
                <w:b/>
                <w:color w:val="000000" w:themeColor="text1"/>
                <w:sz w:val="21"/>
                <w:szCs w:val="21"/>
              </w:rPr>
              <w:t>OHSMS事务代表协商和交流的情况（OHSMS填写）：</w:t>
            </w:r>
            <w:r>
              <w:rPr>
                <w:rFonts w:hint="eastAsia" w:ascii="宋体" w:hAnsi="宋体" w:eastAsia="宋体" w:cs="宋体"/>
                <w:sz w:val="21"/>
                <w:szCs w:val="21"/>
              </w:rPr>
              <w:t>公司经选举确定了员工代表是</w:t>
            </w:r>
            <w:r>
              <w:rPr>
                <w:rFonts w:hint="eastAsia" w:ascii="宋体" w:hAnsi="宋体" w:eastAsia="宋体" w:cs="宋体"/>
                <w:sz w:val="21"/>
                <w:szCs w:val="21"/>
                <w:lang w:val="en-US" w:eastAsia="zh-CN"/>
              </w:rPr>
              <w:t>李扬</w:t>
            </w:r>
            <w:r>
              <w:rPr>
                <w:rFonts w:hint="eastAsia" w:ascii="宋体" w:hAnsi="宋体" w:eastAsia="宋体" w:cs="宋体"/>
                <w:sz w:val="21"/>
                <w:szCs w:val="21"/>
              </w:rPr>
              <w:t>，</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hint="eastAsia" w:ascii="宋体" w:hAnsi="宋体" w:eastAsia="宋体" w:cs="宋体"/>
                <w:b/>
                <w:sz w:val="21"/>
                <w:szCs w:val="21"/>
              </w:rPr>
            </w:pPr>
            <w:r>
              <w:rPr>
                <w:rFonts w:hint="eastAsia" w:ascii="宋体" w:hAnsi="宋体" w:eastAsia="宋体" w:cs="宋体"/>
                <w:b/>
                <w:color w:val="000000" w:themeColor="text1"/>
                <w:sz w:val="21"/>
                <w:szCs w:val="21"/>
              </w:rPr>
              <w:t>与相关方协商的情况（OHSMS填写）：</w:t>
            </w:r>
            <w:r>
              <w:rPr>
                <w:rFonts w:hint="eastAsia" w:ascii="宋体" w:hAnsi="宋体" w:eastAsia="宋体" w:cs="宋体"/>
                <w:sz w:val="21"/>
                <w:szCs w:val="21"/>
              </w:rPr>
              <w:t>对供方进行了安全告知。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6"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3.  QMS /□50430组织对重要过程实施控制的结果</w:t>
            </w:r>
          </w:p>
          <w:p>
            <w:pPr>
              <w:spacing w:line="360" w:lineRule="auto"/>
              <w:ind w:left="206" w:leftChars="42" w:hanging="105" w:hangingChars="50"/>
              <w:rPr>
                <w:rFonts w:hint="eastAsia" w:ascii="宋体" w:hAnsi="宋体" w:eastAsia="宋体" w:cs="宋体"/>
                <w:b/>
                <w:sz w:val="21"/>
                <w:szCs w:val="21"/>
              </w:rPr>
            </w:pPr>
            <w:r>
              <w:rPr>
                <w:rFonts w:hint="eastAsia" w:ascii="宋体" w:hAnsi="宋体" w:eastAsia="宋体" w:cs="宋体"/>
                <w:b/>
                <w:sz w:val="21"/>
                <w:szCs w:val="21"/>
              </w:rPr>
              <w:t>(包括对QMS关键工序(过程)、特殊过程控制;评价组织对过程实施控制情况/)</w:t>
            </w:r>
          </w:p>
          <w:p>
            <w:pPr>
              <w:snapToGrid w:val="0"/>
              <w:spacing w:line="360" w:lineRule="auto"/>
              <w:rPr>
                <w:rFonts w:hint="eastAsia" w:ascii="宋体" w:hAnsi="宋体" w:eastAsia="宋体" w:cs="宋体"/>
                <w:b w:val="0"/>
                <w:bCs w:val="0"/>
                <w:sz w:val="21"/>
                <w:szCs w:val="21"/>
              </w:rPr>
            </w:pPr>
            <w:r>
              <w:rPr>
                <w:rFonts w:hint="eastAsia" w:ascii="微软雅黑" w:hAnsi="微软雅黑" w:eastAsia="微软雅黑"/>
                <w:szCs w:val="24"/>
              </w:rPr>
              <w:t xml:space="preserve"> </w:t>
            </w:r>
            <w:r>
              <w:rPr>
                <w:rFonts w:hint="eastAsia" w:ascii="宋体" w:hAnsi="宋体" w:eastAsia="宋体" w:cs="宋体"/>
                <w:b w:val="0"/>
                <w:bCs w:val="0"/>
                <w:sz w:val="21"/>
                <w:szCs w:val="21"/>
              </w:rPr>
              <w:t>公司主要从事土地规划设计；土地调查；资质内的测绘服务；计算机应用软件的开发</w:t>
            </w:r>
          </w:p>
          <w:p>
            <w:pPr>
              <w:snapToGrid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计算机应用软件研发流程为：</w:t>
            </w:r>
          </w:p>
          <w:p>
            <w:pPr>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洽谈项目—立项与策划—需求分析—设计开发—编码—测试——发布上线—验收</w:t>
            </w:r>
          </w:p>
          <w:p>
            <w:pPr>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土地规划流程：</w:t>
            </w:r>
          </w:p>
          <w:p>
            <w:pPr>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合同签订——准备阶段——大纲编制——成果编制——意见征求论证——上报审批——建档</w:t>
            </w:r>
          </w:p>
          <w:p>
            <w:pPr>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土地调查流程：</w:t>
            </w:r>
          </w:p>
          <w:p>
            <w:pPr>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合同签订——测绘勘察——数据整理、出图——报告编制</w:t>
            </w:r>
          </w:p>
          <w:p>
            <w:pPr>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测绘流程：</w:t>
            </w:r>
          </w:p>
          <w:p>
            <w:pPr>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了解客户需求——合同评审——签订合同——现场勘察、现场测绘——整理资料——归档备案</w:t>
            </w:r>
          </w:p>
          <w:p>
            <w:pPr>
              <w:spacing w:line="360" w:lineRule="auto"/>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关键</w:t>
            </w:r>
            <w:r>
              <w:rPr>
                <w:rFonts w:hint="eastAsia" w:ascii="宋体" w:hAnsi="宋体" w:eastAsia="宋体" w:cs="宋体"/>
                <w:b w:val="0"/>
                <w:bCs w:val="0"/>
                <w:sz w:val="21"/>
                <w:szCs w:val="21"/>
              </w:rPr>
              <w:t>过程是设计、测绘过程，提供特殊过程的《特殊过程确认记录》，对设计、测绘过程进行了过程确认</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通过对人员资格鉴定、过程方法鉴定</w:t>
            </w:r>
            <w:r>
              <w:rPr>
                <w:rFonts w:hint="eastAsia" w:ascii="宋体" w:hAnsi="宋体" w:cs="宋体"/>
                <w:b w:val="0"/>
                <w:bCs w:val="0"/>
                <w:sz w:val="21"/>
                <w:szCs w:val="21"/>
                <w:lang w:val="en-US" w:eastAsia="zh-CN"/>
              </w:rPr>
              <w:t>、过程控制等方面对</w:t>
            </w:r>
            <w:r>
              <w:rPr>
                <w:rFonts w:hint="eastAsia" w:ascii="宋体" w:hAnsi="宋体" w:eastAsia="宋体" w:cs="宋体"/>
                <w:b w:val="0"/>
                <w:bCs w:val="0"/>
                <w:sz w:val="21"/>
                <w:szCs w:val="21"/>
              </w:rPr>
              <w:t>设计、测绘过程</w:t>
            </w:r>
            <w:r>
              <w:rPr>
                <w:rFonts w:hint="eastAsia" w:ascii="宋体" w:hAnsi="宋体" w:cs="宋体"/>
                <w:b w:val="0"/>
                <w:bCs w:val="0"/>
                <w:sz w:val="21"/>
                <w:szCs w:val="21"/>
                <w:lang w:val="en-US" w:eastAsia="zh-CN"/>
              </w:rPr>
              <w:t>进行确认。</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b w:val="0"/>
                <w:bCs w:val="0"/>
                <w:sz w:val="21"/>
                <w:szCs w:val="21"/>
              </w:rPr>
              <w:t>公司依据客户订单，下达</w:t>
            </w:r>
            <w:r>
              <w:rPr>
                <w:rFonts w:hint="eastAsia" w:ascii="宋体" w:hAnsi="宋体" w:eastAsia="宋体" w:cs="宋体"/>
                <w:b w:val="0"/>
                <w:bCs w:val="0"/>
                <w:sz w:val="21"/>
                <w:szCs w:val="21"/>
                <w:lang w:val="en-US" w:eastAsia="zh-CN"/>
              </w:rPr>
              <w:t>设计</w:t>
            </w:r>
            <w:r>
              <w:rPr>
                <w:rFonts w:hint="eastAsia" w:ascii="宋体" w:hAnsi="宋体" w:eastAsia="宋体" w:cs="宋体"/>
                <w:b w:val="0"/>
                <w:bCs w:val="0"/>
                <w:sz w:val="21"/>
                <w:szCs w:val="21"/>
              </w:rPr>
              <w:t>计划，进行</w:t>
            </w:r>
            <w:r>
              <w:rPr>
                <w:rFonts w:hint="eastAsia" w:ascii="宋体" w:hAnsi="宋体" w:eastAsia="宋体" w:cs="宋体"/>
                <w:b w:val="0"/>
                <w:bCs w:val="0"/>
                <w:sz w:val="21"/>
                <w:szCs w:val="21"/>
                <w:lang w:val="en-US" w:eastAsia="zh-CN"/>
              </w:rPr>
              <w:t>软件研发</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rPr>
              <w:t>测绘勘察</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土地规划</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土地调查销售服务工作管理</w:t>
            </w:r>
            <w:r>
              <w:rPr>
                <w:rFonts w:hint="eastAsia" w:ascii="宋体" w:hAnsi="宋体" w:eastAsia="宋体" w:cs="宋体"/>
                <w:b w:val="0"/>
                <w:bCs w:val="0"/>
                <w:sz w:val="21"/>
                <w:szCs w:val="21"/>
                <w:lang w:val="en-US" w:eastAsia="zh-CN"/>
              </w:rPr>
              <w:t>和</w:t>
            </w:r>
            <w:r>
              <w:rPr>
                <w:rFonts w:hint="eastAsia" w:ascii="宋体" w:hAnsi="宋体" w:eastAsia="宋体" w:cs="宋体"/>
                <w:b w:val="0"/>
                <w:bCs w:val="0"/>
                <w:sz w:val="21"/>
                <w:szCs w:val="21"/>
              </w:rPr>
              <w:t>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4.QMS/□50430产品/服务的标准、协议/规范的有效性以及产品/服务质量符合要求，向顾客稳定提供合格产品的情况；</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企业执行的法律法规和标准规范</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GB 6962--86 </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1:500 1:1000 1:2000比例尺地形图航空摄影规范 </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GB 7930--87</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1:500 1:1000 1:2000地形图航空摄影测量内业规范 </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GB 7931--87</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1:500 1:1000 1:2000地形图航空摄影测量外业规范</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GB/T 17986.1 —2000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房产测量规范 第1单元 房产测量规定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GB/T 18314—2001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全球定位系统（GPS）测量规范 </w:t>
            </w:r>
            <w:r>
              <w:rPr>
                <w:rFonts w:hint="eastAsia" w:ascii="宋体" w:hAnsi="宋体" w:eastAsia="宋体" w:cs="宋体"/>
                <w:b w:val="0"/>
                <w:bCs w:val="0"/>
                <w:sz w:val="21"/>
                <w:szCs w:val="21"/>
                <w:lang w:eastAsia="zh-CN"/>
              </w:rPr>
              <w:t>》</w:t>
            </w:r>
          </w:p>
          <w:p>
            <w:pPr>
              <w:spacing w:line="360" w:lineRule="auto"/>
              <w:rPr>
                <w:rFonts w:ascii="宋体" w:hAnsi="宋体" w:cs="宋体"/>
                <w:sz w:val="21"/>
                <w:szCs w:val="21"/>
              </w:rPr>
            </w:pPr>
            <w:r>
              <w:rPr>
                <w:rFonts w:hint="eastAsia" w:ascii="宋体" w:hAnsi="宋体" w:eastAsia="宋体" w:cs="宋体"/>
                <w:b w:val="0"/>
                <w:bCs w:val="0"/>
                <w:sz w:val="21"/>
                <w:szCs w:val="21"/>
              </w:rPr>
              <w:t>提供了测绘</w:t>
            </w:r>
            <w:r>
              <w:rPr>
                <w:rFonts w:hint="eastAsia" w:ascii="宋体" w:hAnsi="宋体" w:eastAsia="宋体" w:cs="宋体"/>
                <w:b w:val="0"/>
                <w:bCs w:val="0"/>
                <w:sz w:val="21"/>
                <w:szCs w:val="21"/>
                <w:lang w:val="en-US" w:eastAsia="zh-CN"/>
              </w:rPr>
              <w:t>技术服务成果、</w:t>
            </w:r>
            <w:r>
              <w:rPr>
                <w:rFonts w:hint="eastAsia" w:ascii="宋体" w:hAnsi="宋体" w:eastAsia="宋体" w:cs="宋体"/>
                <w:b w:val="0"/>
                <w:bCs w:val="0"/>
                <w:sz w:val="21"/>
                <w:szCs w:val="21"/>
              </w:rPr>
              <w:t>土地调查</w:t>
            </w:r>
            <w:r>
              <w:rPr>
                <w:rFonts w:hint="eastAsia" w:ascii="宋体" w:hAnsi="宋体" w:eastAsia="宋体" w:cs="宋体"/>
                <w:b w:val="0"/>
                <w:bCs w:val="0"/>
                <w:sz w:val="21"/>
                <w:szCs w:val="21"/>
                <w:lang w:val="en-US" w:eastAsia="zh-CN"/>
              </w:rPr>
              <w:t>信息、地形图、评价报告等</w:t>
            </w:r>
            <w:r>
              <w:rPr>
                <w:rFonts w:hint="eastAsia" w:ascii="宋体" w:hAnsi="宋体" w:eastAsia="宋体" w:cs="宋体"/>
                <w:b w:val="0"/>
                <w:bCs w:val="0"/>
                <w:sz w:val="21"/>
                <w:szCs w:val="21"/>
              </w:rPr>
              <w:t>，满足顾客要求</w:t>
            </w:r>
            <w:r>
              <w:rPr>
                <w:rFonts w:hint="eastAsia" w:ascii="宋体" w:hAnsi="宋体" w:cs="宋体"/>
                <w:sz w:val="21"/>
                <w:szCs w:val="21"/>
              </w:rPr>
              <w:t>。</w:t>
            </w: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r>
              <w:rPr>
                <w:rFonts w:hint="eastAsia" w:ascii="宋体" w:hAnsi="宋体" w:eastAsia="宋体" w:cs="宋体"/>
                <w:b/>
                <w:sz w:val="21"/>
                <w:szCs w:val="21"/>
              </w:rPr>
              <w:t>(应说明相关证据)：</w:t>
            </w:r>
          </w:p>
          <w:p>
            <w:pPr>
              <w:spacing w:line="24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240" w:lineRule="exact"/>
              <w:rPr>
                <w:rFonts w:hint="eastAsia" w:ascii="宋体" w:hAnsi="宋体" w:eastAsia="宋体" w:cs="宋体"/>
                <w:b/>
                <w:sz w:val="21"/>
                <w:szCs w:val="21"/>
              </w:rPr>
            </w:pPr>
            <w:r>
              <w:rPr>
                <w:rFonts w:hint="eastAsia" w:ascii="宋体" w:hAnsi="宋体" w:eastAsia="宋体" w:cs="宋体"/>
                <w:b/>
                <w:sz w:val="21"/>
                <w:szCs w:val="21"/>
              </w:rPr>
              <w:t>5 .QMS/□50430国家/地方技术监督部门监测（检测、委托检测、定期监测、型式试验等）、抽查结果</w:t>
            </w:r>
          </w:p>
          <w:p>
            <w:pPr>
              <w:ind w:firstLine="420" w:firstLineChars="200"/>
              <w:rPr>
                <w:rFonts w:hint="eastAsia" w:ascii="宋体" w:hAnsi="宋体" w:eastAsia="宋体" w:cs="宋体"/>
                <w:b/>
                <w:sz w:val="21"/>
                <w:szCs w:val="21"/>
              </w:rPr>
            </w:pPr>
            <w:r>
              <w:rPr>
                <w:rFonts w:hint="eastAsia" w:ascii="宋体" w:hAnsi="宋体" w:cs="宋体"/>
                <w:sz w:val="21"/>
                <w:szCs w:val="21"/>
              </w:rPr>
              <w:t>无。</w:t>
            </w:r>
          </w:p>
          <w:p>
            <w:pPr>
              <w:spacing w:line="300" w:lineRule="exact"/>
              <w:ind w:firstLine="207" w:firstLineChars="98"/>
              <w:rPr>
                <w:rFonts w:hint="eastAsia" w:ascii="宋体" w:hAnsi="宋体" w:eastAsia="宋体" w:cs="宋体"/>
                <w:b/>
                <w:sz w:val="21"/>
                <w:szCs w:val="21"/>
              </w:rPr>
            </w:pPr>
            <w:r>
              <w:rPr>
                <w:rFonts w:hint="eastAsia" w:ascii="宋体" w:hAnsi="宋体" w:eastAsia="宋体" w:cs="宋体"/>
                <w:b/>
                <w:sz w:val="21"/>
                <w:szCs w:val="21"/>
              </w:rPr>
              <w:t>（附相关证据）：</w:t>
            </w:r>
          </w:p>
          <w:p>
            <w:pPr>
              <w:spacing w:line="300" w:lineRule="exact"/>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6. 不合格品/项的识别、控制;</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公司编制了《不合格控制程序》对不合格的控制及其职责、权限及要求进行了规定。</w:t>
            </w:r>
          </w:p>
          <w:p>
            <w:pPr>
              <w:spacing w:line="360" w:lineRule="auto"/>
              <w:rPr>
                <w:rFonts w:hint="eastAsia" w:ascii="宋体" w:hAnsi="宋体" w:eastAsia="宋体" w:cs="宋体"/>
                <w:b/>
                <w:sz w:val="21"/>
                <w:szCs w:val="21"/>
              </w:rPr>
            </w:pPr>
            <w:r>
              <w:rPr>
                <w:rFonts w:hint="eastAsia" w:ascii="宋体" w:hAnsi="宋体" w:eastAsia="宋体" w:cs="宋体"/>
                <w:b w:val="0"/>
                <w:bCs/>
                <w:sz w:val="21"/>
                <w:szCs w:val="21"/>
              </w:rPr>
              <w:t>经查，针对发生的不合格设计部对不合格品进行了评审，确定了结论、措施和对纠正后的不合格品进行了验证。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240" w:lineRule="exact"/>
              <w:rPr>
                <w:rFonts w:hint="eastAsia" w:ascii="宋体" w:hAnsi="宋体" w:eastAsia="宋体" w:cs="宋体"/>
                <w:b/>
                <w:sz w:val="21"/>
                <w:szCs w:val="21"/>
              </w:rPr>
            </w:pPr>
            <w:r>
              <w:rPr>
                <w:rFonts w:hint="eastAsia" w:ascii="宋体" w:hAnsi="宋体" w:eastAsia="宋体" w:cs="宋体"/>
                <w:b/>
                <w:sz w:val="21"/>
                <w:szCs w:val="21"/>
              </w:rPr>
              <w:t>7. EMS组织对重要环境因素实施控制的结果</w:t>
            </w:r>
          </w:p>
          <w:p>
            <w:pPr>
              <w:spacing w:line="240" w:lineRule="exact"/>
              <w:rPr>
                <w:rFonts w:hint="eastAsia" w:ascii="宋体" w:hAnsi="宋体" w:eastAsia="宋体" w:cs="宋体"/>
                <w:b/>
                <w:sz w:val="21"/>
                <w:szCs w:val="21"/>
              </w:rPr>
            </w:pPr>
            <w:r>
              <w:rPr>
                <w:rFonts w:hint="eastAsia" w:ascii="宋体" w:hAnsi="宋体" w:eastAsia="宋体" w:cs="宋体"/>
                <w:b/>
                <w:sz w:val="21"/>
                <w:szCs w:val="21"/>
              </w:rPr>
              <w:t>（EMS对重要环境因素控制，重大环境因素对周边环境产生的影响及控制;对相关方施加影响）</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1、废水管控：企业无工业废水，厂区生活废水流入市政管网。</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2、废气管控：无废气排放。</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3、噪声管控：无噪声排放。</w:t>
            </w:r>
          </w:p>
          <w:p>
            <w:pPr>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4、固废管控：办公废旧硒鼓/墨盒，由供应商回收。生活垃圾由</w:t>
            </w:r>
            <w:r>
              <w:rPr>
                <w:rFonts w:hint="eastAsia" w:ascii="宋体" w:hAnsi="宋体" w:cs="宋体"/>
                <w:sz w:val="21"/>
                <w:szCs w:val="21"/>
                <w:lang w:val="en-US" w:eastAsia="zh-CN"/>
              </w:rPr>
              <w:t>园区管委会负责处理。</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val="en-US" w:eastAsia="zh-CN"/>
              </w:rPr>
              <w:t>5、</w:t>
            </w:r>
            <w:r>
              <w:rPr>
                <w:rFonts w:hint="eastAsia" w:ascii="宋体" w:hAnsi="宋体" w:cs="宋体"/>
                <w:sz w:val="21"/>
                <w:szCs w:val="21"/>
              </w:rPr>
              <w:t>能源资源管控：</w:t>
            </w:r>
            <w:r>
              <w:rPr>
                <w:rFonts w:hint="eastAsia" w:ascii="宋体" w:hAnsi="宋体" w:cs="宋体"/>
                <w:sz w:val="21"/>
                <w:szCs w:val="21"/>
                <w:lang w:val="en-US" w:eastAsia="zh-CN"/>
              </w:rPr>
              <w:t>办公用纸采用双面打印、</w:t>
            </w:r>
            <w:r>
              <w:rPr>
                <w:rFonts w:hint="eastAsia" w:ascii="宋体" w:hAnsi="宋体" w:cs="宋体"/>
                <w:sz w:val="21"/>
                <w:szCs w:val="21"/>
              </w:rPr>
              <w:t>注意节水、节电，人走关闭设备和照明开关</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b/>
                <w:sz w:val="21"/>
                <w:szCs w:val="21"/>
              </w:rPr>
            </w:pPr>
            <w:r>
              <w:rPr>
                <w:rFonts w:hint="eastAsia" w:ascii="宋体" w:hAnsi="宋体" w:cs="宋体"/>
                <w:sz w:val="21"/>
                <w:szCs w:val="21"/>
                <w:lang w:val="en-US" w:eastAsia="zh-CN"/>
              </w:rPr>
              <w:t>6、</w:t>
            </w:r>
            <w:r>
              <w:rPr>
                <w:rFonts w:hint="eastAsia" w:ascii="宋体" w:hAnsi="宋体" w:cs="宋体"/>
                <w:sz w:val="21"/>
                <w:szCs w:val="21"/>
              </w:rPr>
              <w:t>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numPr>
                <w:ilvl w:val="0"/>
                <w:numId w:val="0"/>
              </w:numPr>
              <w:jc w:val="left"/>
              <w:rPr>
                <w:rFonts w:hint="eastAsia" w:ascii="宋体" w:hAnsi="宋体" w:eastAsia="宋体" w:cs="宋体"/>
                <w:b/>
                <w:sz w:val="21"/>
                <w:szCs w:val="21"/>
              </w:rPr>
            </w:pPr>
            <w:r>
              <w:rPr>
                <w:rFonts w:hint="eastAsia" w:ascii="宋体" w:hAnsi="宋体" w:eastAsia="宋体" w:cs="宋体"/>
                <w:b/>
                <w:sz w:val="21"/>
                <w:szCs w:val="21"/>
                <w:lang w:val="en-US" w:eastAsia="zh-CN"/>
              </w:rPr>
              <w:t>8、</w:t>
            </w:r>
            <w:r>
              <w:rPr>
                <w:rFonts w:hint="eastAsia" w:ascii="宋体" w:hAnsi="宋体" w:eastAsia="宋体" w:cs="宋体"/>
                <w:b/>
                <w:sz w:val="21"/>
                <w:szCs w:val="21"/>
              </w:rPr>
              <w:t>OHSMS组织对不可接受风险实施控制的结果</w:t>
            </w:r>
          </w:p>
          <w:p>
            <w:pPr>
              <w:numPr>
                <w:ilvl w:val="0"/>
                <w:numId w:val="0"/>
              </w:numPr>
              <w:spacing w:line="360" w:lineRule="auto"/>
              <w:ind w:firstLine="420" w:firstLineChars="200"/>
              <w:jc w:val="left"/>
              <w:rPr>
                <w:rFonts w:ascii="宋体" w:hAnsi="宋体" w:cs="宋体"/>
                <w:sz w:val="21"/>
                <w:szCs w:val="21"/>
              </w:rPr>
            </w:pPr>
            <w:r>
              <w:rPr>
                <w:rFonts w:hint="eastAsia" w:ascii="宋体" w:hAnsi="宋体" w:cs="宋体"/>
                <w:sz w:val="21"/>
                <w:szCs w:val="21"/>
              </w:rPr>
              <w:t>1、潜在火灾管控：配备灭火器。</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2、安全防护：</w:t>
            </w:r>
            <w:r>
              <w:rPr>
                <w:rFonts w:hint="eastAsia" w:ascii="宋体" w:hAnsi="宋体" w:cs="宋体"/>
                <w:sz w:val="21"/>
                <w:szCs w:val="21"/>
                <w:lang w:val="en-US" w:eastAsia="zh-CN"/>
              </w:rPr>
              <w:t xml:space="preserve"> </w:t>
            </w:r>
            <w:r>
              <w:rPr>
                <w:rFonts w:hint="eastAsia" w:ascii="宋体" w:hAnsi="宋体" w:cs="宋体"/>
                <w:sz w:val="21"/>
                <w:szCs w:val="21"/>
              </w:rPr>
              <w:t>现场电线布线合理，漏电保护器状态良好。</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3、为主要长期员工上社保、工伤保险。</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4、为环境和职业健康安全管理体系运行提供了财务支持。</w:t>
            </w:r>
          </w:p>
          <w:p>
            <w:pPr>
              <w:spacing w:line="360" w:lineRule="auto"/>
              <w:ind w:firstLine="420" w:firstLineChars="200"/>
              <w:rPr>
                <w:rFonts w:hint="eastAsia" w:ascii="宋体" w:hAnsi="宋体" w:eastAsia="宋体" w:cs="宋体"/>
                <w:b/>
                <w:sz w:val="21"/>
                <w:szCs w:val="21"/>
              </w:rPr>
            </w:pPr>
            <w:r>
              <w:rPr>
                <w:rFonts w:hint="eastAsia" w:ascii="宋体" w:hAnsi="宋体" w:cs="宋体"/>
                <w:sz w:val="21"/>
                <w:szCs w:val="21"/>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360" w:lineRule="auto"/>
              <w:ind w:left="211" w:hanging="211" w:hangingChars="100"/>
              <w:rPr>
                <w:rFonts w:hint="eastAsia" w:ascii="宋体" w:hAnsi="宋体" w:eastAsia="宋体" w:cs="宋体"/>
                <w:b/>
                <w:sz w:val="21"/>
                <w:szCs w:val="21"/>
              </w:rPr>
            </w:pPr>
            <w:r>
              <w:rPr>
                <w:rFonts w:hint="eastAsia" w:ascii="宋体" w:hAnsi="宋体" w:eastAsia="宋体" w:cs="宋体"/>
                <w:b/>
                <w:sz w:val="21"/>
                <w:szCs w:val="21"/>
              </w:rPr>
              <w:t xml:space="preserve">9. 应急准备与相应活动的演练及对预案可行性的评价(当有规定时) </w:t>
            </w:r>
          </w:p>
          <w:p>
            <w:pPr>
              <w:spacing w:line="360" w:lineRule="auto"/>
              <w:rPr>
                <w:rFonts w:hint="eastAsia" w:ascii="宋体" w:hAnsi="宋体" w:eastAsia="宋体" w:cs="宋体"/>
                <w:b/>
                <w:sz w:val="21"/>
                <w:szCs w:val="21"/>
              </w:rPr>
            </w:pPr>
            <w:r>
              <w:rPr>
                <w:rFonts w:hint="eastAsia" w:ascii="宋体" w:hAnsi="宋体" w:eastAsia="宋体" w:cs="宋体"/>
                <w:b w:val="0"/>
                <w:bCs/>
                <w:sz w:val="21"/>
                <w:szCs w:val="21"/>
              </w:rPr>
              <w:t>制定了火灾、触电、人身伤害等应急预案，</w:t>
            </w:r>
            <w:r>
              <w:rPr>
                <w:rFonts w:hint="eastAsia" w:ascii="宋体" w:hAnsi="宋体" w:eastAsia="宋体" w:cs="宋体"/>
                <w:b w:val="0"/>
                <w:bCs/>
                <w:sz w:val="21"/>
                <w:szCs w:val="21"/>
                <w:lang w:val="en-US" w:eastAsia="zh-CN"/>
              </w:rPr>
              <w:t>及时参加园区组织的消防</w:t>
            </w:r>
            <w:r>
              <w:rPr>
                <w:rFonts w:hint="eastAsia" w:ascii="宋体" w:hAnsi="宋体" w:eastAsia="宋体" w:cs="宋体"/>
                <w:b w:val="0"/>
                <w:bCs/>
                <w:sz w:val="21"/>
                <w:szCs w:val="21"/>
              </w:rPr>
              <w:t>应急演练，对预案可行性进行了评价，</w:t>
            </w:r>
            <w:r>
              <w:rPr>
                <w:rFonts w:hint="eastAsia" w:ascii="宋体" w:hAnsi="宋体" w:eastAsia="宋体" w:cs="宋体"/>
                <w:b w:val="0"/>
                <w:bCs/>
                <w:sz w:val="21"/>
                <w:szCs w:val="21"/>
                <w:lang w:val="en-US" w:eastAsia="zh-CN"/>
              </w:rPr>
              <w:t>园区</w:t>
            </w:r>
            <w:r>
              <w:rPr>
                <w:rFonts w:hint="eastAsia" w:ascii="宋体" w:hAnsi="宋体" w:eastAsia="宋体" w:cs="宋体"/>
                <w:b w:val="0"/>
                <w:bCs/>
                <w:sz w:val="21"/>
                <w:szCs w:val="21"/>
              </w:rPr>
              <w:t>配有消防器材。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240" w:lineRule="exact"/>
              <w:rPr>
                <w:rFonts w:hint="eastAsia" w:ascii="宋体" w:hAnsi="宋体" w:eastAsia="宋体" w:cs="宋体"/>
                <w:b/>
                <w:sz w:val="21"/>
                <w:szCs w:val="21"/>
              </w:rPr>
            </w:pPr>
            <w:r>
              <w:rPr>
                <w:rFonts w:hint="eastAsia" w:ascii="宋体" w:hAnsi="宋体" w:eastAsia="宋体" w:cs="宋体"/>
                <w:b/>
                <w:sz w:val="21"/>
                <w:szCs w:val="21"/>
              </w:rPr>
              <w:t>10. 对特种设备的维护，检定;（适用时）</w:t>
            </w:r>
          </w:p>
          <w:p>
            <w:pPr>
              <w:ind w:left="240" w:leftChars="100" w:firstLine="105" w:firstLineChars="50"/>
              <w:jc w:val="left"/>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240" w:lineRule="exact"/>
              <w:rPr>
                <w:rFonts w:hint="eastAsia" w:ascii="宋体" w:hAnsi="宋体" w:eastAsia="宋体" w:cs="宋体"/>
                <w:b/>
                <w:sz w:val="21"/>
                <w:szCs w:val="21"/>
              </w:rPr>
            </w:pPr>
            <w:r>
              <w:rPr>
                <w:rFonts w:hint="eastAsia" w:ascii="宋体" w:hAnsi="宋体" w:eastAsia="宋体" w:cs="宋体"/>
                <w:b/>
                <w:sz w:val="21"/>
                <w:szCs w:val="21"/>
              </w:rPr>
              <w:t>11 .对危险化学品销售、使用、储存、运输处置，规定的执行力度(必要时);</w:t>
            </w:r>
          </w:p>
          <w:p>
            <w:pPr>
              <w:spacing w:line="240" w:lineRule="exact"/>
              <w:rPr>
                <w:rFonts w:hint="eastAsia" w:ascii="宋体" w:hAnsi="宋体" w:eastAsia="宋体" w:cs="宋体"/>
                <w:b/>
                <w:sz w:val="21"/>
                <w:szCs w:val="21"/>
              </w:rPr>
            </w:pPr>
          </w:p>
          <w:p>
            <w:pPr>
              <w:spacing w:line="240" w:lineRule="exact"/>
              <w:ind w:firstLine="211" w:firstLineChars="1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20" w:type="dxa"/>
            <w:vMerge w:val="restart"/>
            <w:textDirection w:val="tbRlV"/>
            <w:vAlign w:val="center"/>
          </w:tcPr>
          <w:p>
            <w:pPr>
              <w:spacing w:line="240" w:lineRule="exact"/>
              <w:ind w:left="113" w:right="113"/>
              <w:jc w:val="center"/>
              <w:rPr>
                <w:rFonts w:hint="eastAsia" w:ascii="宋体" w:hAnsi="宋体" w:eastAsia="宋体" w:cs="宋体"/>
                <w:b/>
                <w:sz w:val="21"/>
                <w:szCs w:val="21"/>
              </w:rPr>
            </w:pPr>
            <w:r>
              <w:rPr>
                <w:rFonts w:hint="eastAsia" w:ascii="宋体" w:hAnsi="宋体" w:eastAsia="宋体" w:cs="宋体"/>
                <w:b/>
                <w:sz w:val="21"/>
                <w:szCs w:val="21"/>
              </w:rPr>
              <w:t>(四)监视测量方面</w:t>
            </w:r>
          </w:p>
        </w:tc>
        <w:tc>
          <w:tcPr>
            <w:tcW w:w="9198" w:type="dxa"/>
          </w:tcPr>
          <w:p>
            <w:pPr>
              <w:spacing w:line="360" w:lineRule="auto"/>
              <w:ind w:left="105" w:hanging="105" w:hangingChars="50"/>
              <w:rPr>
                <w:rFonts w:hint="eastAsia" w:ascii="宋体" w:hAnsi="宋体" w:eastAsia="宋体" w:cs="宋体"/>
                <w:b/>
                <w:sz w:val="21"/>
                <w:szCs w:val="21"/>
              </w:rPr>
            </w:pPr>
            <w:r>
              <w:rPr>
                <w:rFonts w:hint="eastAsia" w:ascii="宋体" w:hAnsi="宋体" w:eastAsia="宋体" w:cs="宋体"/>
                <w:b/>
                <w:sz w:val="21"/>
                <w:szCs w:val="21"/>
              </w:rPr>
              <w:t>1. 对质量/环境/职业健康安全目标指标进行定期监测/检查情况</w:t>
            </w:r>
          </w:p>
          <w:p>
            <w:pPr>
              <w:spacing w:line="360" w:lineRule="auto"/>
              <w:ind w:firstLine="105" w:firstLineChars="50"/>
              <w:rPr>
                <w:rFonts w:hint="eastAsia" w:ascii="宋体" w:hAnsi="宋体" w:eastAsia="宋体" w:cs="宋体"/>
                <w:b/>
                <w:sz w:val="21"/>
                <w:szCs w:val="21"/>
              </w:rPr>
            </w:pPr>
            <w:r>
              <w:rPr>
                <w:rFonts w:hint="eastAsia" w:ascii="宋体" w:hAnsi="宋体" w:eastAsia="宋体" w:cs="宋体"/>
                <w:b w:val="0"/>
                <w:bCs/>
                <w:sz w:val="21"/>
                <w:szCs w:val="21"/>
              </w:rPr>
              <w:t>2020.1.20对质量/环境/职业健康安全目标指标进行了检查，能达标</w:t>
            </w:r>
            <w:r>
              <w:rPr>
                <w:rFonts w:hint="eastAsia" w:ascii="宋体" w:hAnsi="宋体" w:eastAsia="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 w:val="21"/>
                <w:szCs w:val="21"/>
              </w:rPr>
            </w:pPr>
          </w:p>
        </w:tc>
        <w:tc>
          <w:tcPr>
            <w:tcW w:w="9198" w:type="dxa"/>
          </w:tcPr>
          <w:p>
            <w:pPr>
              <w:spacing w:line="360" w:lineRule="auto"/>
              <w:ind w:left="105" w:hanging="105" w:hangingChars="50"/>
              <w:rPr>
                <w:rFonts w:hint="eastAsia" w:ascii="宋体" w:hAnsi="宋体" w:eastAsia="宋体" w:cs="宋体"/>
                <w:b/>
                <w:sz w:val="21"/>
                <w:szCs w:val="21"/>
              </w:rPr>
            </w:pPr>
            <w:r>
              <w:rPr>
                <w:rFonts w:hint="eastAsia" w:ascii="宋体" w:hAnsi="宋体" w:cs="宋体"/>
                <w:b/>
                <w:sz w:val="21"/>
                <w:szCs w:val="21"/>
                <w:lang w:val="en-US" w:eastAsia="zh-CN"/>
              </w:rPr>
              <w:t>2.</w:t>
            </w:r>
            <w:r>
              <w:rPr>
                <w:rFonts w:hint="eastAsia" w:ascii="宋体" w:hAnsi="宋体" w:eastAsia="宋体" w:cs="宋体"/>
                <w:b/>
                <w:sz w:val="21"/>
                <w:szCs w:val="21"/>
              </w:rPr>
              <w:t>顾客满意</w:t>
            </w:r>
          </w:p>
          <w:p>
            <w:pPr>
              <w:spacing w:line="360" w:lineRule="auto"/>
              <w:ind w:firstLine="210" w:firstLineChars="100"/>
              <w:rPr>
                <w:rFonts w:hint="eastAsia" w:ascii="宋体" w:hAnsi="宋体" w:eastAsia="宋体" w:cs="宋体"/>
                <w:b/>
                <w:sz w:val="21"/>
                <w:szCs w:val="21"/>
              </w:rPr>
            </w:pPr>
            <w:r>
              <w:rPr>
                <w:rFonts w:hint="eastAsia" w:ascii="宋体" w:hAnsi="宋体"/>
                <w:sz w:val="21"/>
                <w:szCs w:val="21"/>
              </w:rPr>
              <w:t>企业主要通过开展顾客满意度调查来收集并了解顾客满意的信息，查见顾客满意程度调查表。调查表从产品质量、价格、交付时间、售后服务等方面对顾客满意度进行了调查，统计结果表明顾客满意综合率为9</w:t>
            </w:r>
            <w:r>
              <w:rPr>
                <w:rFonts w:hint="eastAsia" w:ascii="宋体" w:hAnsi="宋体"/>
                <w:sz w:val="21"/>
                <w:szCs w:val="21"/>
                <w:lang w:val="en-US" w:eastAsia="zh-CN"/>
              </w:rPr>
              <w:t>3</w:t>
            </w:r>
            <w:r>
              <w:rPr>
                <w:rFonts w:hint="eastAsia" w:ascii="宋体" w:hAnsi="宋体"/>
                <w:sz w:val="21"/>
                <w:szCs w:val="21"/>
              </w:rPr>
              <w:t>%，达到了公司质量目标。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 w:val="21"/>
                <w:szCs w:val="21"/>
              </w:rPr>
            </w:pPr>
          </w:p>
        </w:tc>
        <w:tc>
          <w:tcPr>
            <w:tcW w:w="9198" w:type="dxa"/>
          </w:tcPr>
          <w:p>
            <w:pPr>
              <w:spacing w:line="240" w:lineRule="exact"/>
              <w:rPr>
                <w:rFonts w:hint="eastAsia" w:ascii="宋体" w:hAnsi="宋体" w:eastAsia="宋体" w:cs="宋体"/>
                <w:b/>
                <w:sz w:val="21"/>
                <w:szCs w:val="21"/>
              </w:rPr>
            </w:pPr>
            <w:r>
              <w:rPr>
                <w:rFonts w:hint="eastAsia" w:ascii="宋体" w:hAnsi="宋体" w:eastAsia="宋体" w:cs="宋体"/>
                <w:b/>
                <w:sz w:val="21"/>
                <w:szCs w:val="21"/>
              </w:rPr>
              <w:t>3. 内审（包括内审策划审核方案中考虑拟审核的过程和区域的状况和重要性）</w:t>
            </w:r>
          </w:p>
          <w:p>
            <w:pPr>
              <w:spacing w:line="360" w:lineRule="auto"/>
              <w:jc w:val="left"/>
              <w:rPr>
                <w:b/>
                <w:color w:val="000000" w:themeColor="text1"/>
                <w:sz w:val="20"/>
                <w:szCs w:val="20"/>
              </w:rPr>
            </w:pPr>
            <w:r>
              <w:rPr>
                <w:rFonts w:hint="eastAsia" w:ascii="宋体" w:hAnsi="宋体" w:cs="宋体"/>
                <w:szCs w:val="22"/>
              </w:rPr>
              <w:t xml:space="preserve"> </w:t>
            </w:r>
            <w:r>
              <w:rPr>
                <w:rFonts w:hint="eastAsia" w:ascii="宋体" w:hAnsi="宋体" w:cs="宋体"/>
                <w:sz w:val="21"/>
                <w:szCs w:val="21"/>
              </w:rPr>
              <w:t>每年一次，本次</w:t>
            </w:r>
            <w:r>
              <w:rPr>
                <w:rFonts w:hint="eastAsia" w:ascii="宋体" w:hAnsi="宋体" w:eastAsia="宋体" w:cs="宋体"/>
                <w:sz w:val="21"/>
                <w:szCs w:val="21"/>
                <w:lang w:bidi="ar"/>
              </w:rPr>
              <w:t>20</w:t>
            </w:r>
            <w:r>
              <w:rPr>
                <w:rFonts w:hint="eastAsia" w:ascii="宋体" w:hAnsi="宋体" w:eastAsia="宋体" w:cs="宋体"/>
                <w:sz w:val="21"/>
                <w:szCs w:val="21"/>
                <w:lang w:val="en-US" w:eastAsia="zh-CN" w:bidi="ar"/>
              </w:rPr>
              <w:t>20</w:t>
            </w:r>
            <w:r>
              <w:rPr>
                <w:rFonts w:hint="eastAsia" w:ascii="宋体" w:hAnsi="宋体" w:eastAsia="宋体" w:cs="宋体"/>
                <w:sz w:val="21"/>
                <w:szCs w:val="21"/>
                <w:lang w:bidi="ar"/>
              </w:rPr>
              <w:t xml:space="preserve"> 年</w:t>
            </w: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月</w:t>
            </w:r>
            <w:r>
              <w:rPr>
                <w:rFonts w:hint="eastAsia" w:ascii="宋体" w:hAnsi="宋体" w:eastAsia="宋体" w:cs="宋体"/>
                <w:sz w:val="21"/>
                <w:szCs w:val="21"/>
                <w:lang w:val="en-US" w:eastAsia="zh-CN" w:bidi="ar"/>
              </w:rPr>
              <w:t>18</w:t>
            </w:r>
            <w:r>
              <w:rPr>
                <w:rFonts w:hint="eastAsia" w:ascii="宋体" w:hAnsi="宋体" w:eastAsia="宋体" w:cs="宋体"/>
                <w:sz w:val="21"/>
                <w:szCs w:val="21"/>
                <w:lang w:bidi="ar"/>
              </w:rPr>
              <w:t>日</w:t>
            </w:r>
            <w:r>
              <w:rPr>
                <w:rFonts w:hint="eastAsia" w:ascii="宋体" w:hAnsi="宋体" w:cs="宋体"/>
                <w:sz w:val="21"/>
                <w:szCs w:val="21"/>
              </w:rPr>
              <w:t>内审。</w:t>
            </w:r>
          </w:p>
          <w:p>
            <w:pPr>
              <w:spacing w:line="360" w:lineRule="auto"/>
              <w:rPr>
                <w:b/>
                <w:color w:val="000000" w:themeColor="text1"/>
                <w:sz w:val="20"/>
                <w:szCs w:val="20"/>
              </w:rPr>
            </w:pPr>
            <w:r>
              <w:rPr>
                <w:rFonts w:hint="eastAsia"/>
                <w:b/>
                <w:color w:val="000000" w:themeColor="text1"/>
                <w:sz w:val="20"/>
                <w:szCs w:val="20"/>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覆盖。</w:t>
            </w:r>
          </w:p>
          <w:p>
            <w:pPr>
              <w:spacing w:line="360" w:lineRule="auto"/>
              <w:rPr>
                <w:rFonts w:hint="eastAsia"/>
                <w:b/>
                <w:color w:val="000000" w:themeColor="text1"/>
                <w:sz w:val="20"/>
                <w:szCs w:val="20"/>
              </w:rPr>
            </w:pPr>
            <w:r>
              <w:rPr>
                <w:rFonts w:hint="eastAsia"/>
                <w:b/>
                <w:color w:val="000000" w:themeColor="text1"/>
                <w:sz w:val="20"/>
                <w:szCs w:val="20"/>
              </w:rPr>
              <w:t>了解内审结论是什么？</w:t>
            </w:r>
          </w:p>
          <w:p>
            <w:pPr>
              <w:spacing w:line="360" w:lineRule="auto"/>
              <w:rPr>
                <w:rFonts w:hint="eastAsia" w:ascii="宋体" w:hAnsi="宋体" w:eastAsia="宋体" w:cs="宋体"/>
                <w:b/>
                <w:sz w:val="21"/>
                <w:szCs w:val="21"/>
              </w:rPr>
            </w:pPr>
            <w:r>
              <w:rPr>
                <w:rFonts w:hint="eastAsia" w:ascii="宋体" w:hAnsi="宋体" w:eastAsia="宋体" w:cs="宋体"/>
                <w:b w:val="0"/>
                <w:bCs/>
                <w:sz w:val="21"/>
                <w:szCs w:val="21"/>
              </w:rPr>
              <w:t>通过内部审核，公司质量、环境和职业健康安全管理体系的建立实施是有效的，符合标准要求。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 w:val="21"/>
                <w:szCs w:val="21"/>
              </w:rPr>
            </w:pPr>
          </w:p>
        </w:tc>
        <w:tc>
          <w:tcPr>
            <w:tcW w:w="9198" w:type="dxa"/>
          </w:tcPr>
          <w:p>
            <w:pPr>
              <w:spacing w:line="240" w:lineRule="exact"/>
              <w:rPr>
                <w:rFonts w:hint="eastAsia" w:ascii="宋体" w:hAnsi="宋体" w:eastAsia="宋体" w:cs="宋体"/>
                <w:b/>
                <w:sz w:val="21"/>
                <w:szCs w:val="21"/>
              </w:rPr>
            </w:pPr>
            <w:r>
              <w:rPr>
                <w:rFonts w:hint="eastAsia" w:ascii="宋体" w:hAnsi="宋体" w:eastAsia="宋体" w:cs="宋体"/>
                <w:b/>
                <w:sz w:val="21"/>
                <w:szCs w:val="21"/>
              </w:rPr>
              <w:t>4.管理评审（管理评审体系变更需求，纠正和预防措施、体系有效性等）</w:t>
            </w:r>
          </w:p>
          <w:p>
            <w:pPr>
              <w:spacing w:line="360" w:lineRule="auto"/>
              <w:ind w:firstLine="210" w:firstLineChars="100"/>
              <w:jc w:val="left"/>
              <w:rPr>
                <w:rFonts w:ascii="宋体" w:hAnsi="宋体" w:cs="宋体"/>
                <w:sz w:val="21"/>
                <w:szCs w:val="21"/>
              </w:rPr>
            </w:pPr>
            <w:r>
              <w:rPr>
                <w:rFonts w:hint="eastAsia" w:ascii="宋体" w:hAnsi="宋体" w:cs="宋体"/>
                <w:sz w:val="21"/>
                <w:szCs w:val="21"/>
              </w:rPr>
              <w:t>每年一次，</w:t>
            </w:r>
            <w:r>
              <w:rPr>
                <w:rFonts w:hint="eastAsia" w:ascii="宋体" w:hAnsi="宋体" w:eastAsia="宋体" w:cs="宋体"/>
                <w:sz w:val="21"/>
                <w:szCs w:val="21"/>
                <w:lang w:bidi="ar"/>
              </w:rPr>
              <w:t>20</w:t>
            </w:r>
            <w:r>
              <w:rPr>
                <w:rFonts w:hint="eastAsia" w:ascii="宋体" w:hAnsi="宋体" w:eastAsia="宋体" w:cs="宋体"/>
                <w:sz w:val="21"/>
                <w:szCs w:val="21"/>
                <w:lang w:val="en-US" w:eastAsia="zh-CN" w:bidi="ar"/>
              </w:rPr>
              <w:t>20</w:t>
            </w:r>
            <w:r>
              <w:rPr>
                <w:rFonts w:hint="eastAsia" w:ascii="宋体" w:hAnsi="宋体" w:eastAsia="宋体" w:cs="宋体"/>
                <w:sz w:val="21"/>
                <w:szCs w:val="21"/>
                <w:lang w:bidi="ar"/>
              </w:rPr>
              <w:t>年</w:t>
            </w: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月2</w:t>
            </w: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日</w:t>
            </w:r>
            <w:r>
              <w:rPr>
                <w:rFonts w:hint="eastAsia" w:ascii="宋体" w:hAnsi="宋体" w:cs="宋体"/>
                <w:sz w:val="21"/>
                <w:szCs w:val="21"/>
              </w:rPr>
              <w:t>管理评审。</w:t>
            </w:r>
          </w:p>
          <w:p>
            <w:pPr>
              <w:spacing w:line="360" w:lineRule="auto"/>
              <w:rPr>
                <w:rFonts w:hint="eastAsia" w:eastAsia="宋体"/>
                <w:b/>
                <w:color w:val="000000" w:themeColor="text1"/>
                <w:sz w:val="20"/>
                <w:szCs w:val="20"/>
                <w:lang w:eastAsia="zh-CN"/>
              </w:rPr>
            </w:pPr>
            <w:r>
              <w:rPr>
                <w:rFonts w:hint="eastAsia"/>
                <w:b/>
                <w:color w:val="000000" w:themeColor="text1"/>
                <w:sz w:val="20"/>
                <w:szCs w:val="20"/>
              </w:rPr>
              <w:t>了解管理评审输入是否充分</w:t>
            </w:r>
            <w:r>
              <w:rPr>
                <w:rFonts w:hint="eastAsia"/>
                <w:b/>
                <w:color w:val="000000" w:themeColor="text1"/>
                <w:sz w:val="20"/>
                <w:szCs w:val="20"/>
                <w:lang w:eastAsia="zh-CN"/>
              </w:rPr>
              <w:t>：</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输入基本充分。</w:t>
            </w:r>
          </w:p>
          <w:p>
            <w:pPr>
              <w:spacing w:line="360" w:lineRule="auto"/>
              <w:rPr>
                <w:rFonts w:hint="eastAsia"/>
                <w:b/>
                <w:color w:val="000000" w:themeColor="text1"/>
                <w:sz w:val="20"/>
                <w:szCs w:val="20"/>
                <w:lang w:eastAsia="zh-CN"/>
              </w:rPr>
            </w:pPr>
            <w:r>
              <w:rPr>
                <w:rFonts w:hint="eastAsia"/>
                <w:b/>
                <w:color w:val="000000" w:themeColor="text1"/>
                <w:sz w:val="20"/>
                <w:szCs w:val="20"/>
              </w:rPr>
              <w:t>了解管理评审结论</w:t>
            </w:r>
            <w:r>
              <w:rPr>
                <w:rFonts w:hint="eastAsia"/>
                <w:b/>
                <w:color w:val="000000" w:themeColor="text1"/>
                <w:sz w:val="20"/>
                <w:szCs w:val="20"/>
                <w:lang w:eastAsia="zh-CN"/>
              </w:rPr>
              <w:t>：</w:t>
            </w:r>
          </w:p>
          <w:p>
            <w:pPr>
              <w:spacing w:line="360" w:lineRule="auto"/>
              <w:rPr>
                <w:rFonts w:hint="eastAsia" w:ascii="宋体" w:hAnsi="宋体" w:eastAsia="宋体" w:cs="宋体"/>
                <w:b/>
                <w:sz w:val="21"/>
                <w:szCs w:val="21"/>
              </w:rPr>
            </w:pPr>
            <w:r>
              <w:rPr>
                <w:rFonts w:hint="eastAsia"/>
                <w:sz w:val="24"/>
                <w:lang w:val="en-US" w:eastAsia="zh-CN"/>
              </w:rPr>
              <w:t xml:space="preserve">   </w:t>
            </w:r>
            <w:r>
              <w:rPr>
                <w:rFonts w:hint="eastAsia"/>
                <w:sz w:val="21"/>
                <w:szCs w:val="21"/>
              </w:rPr>
              <w:t>公司的质量、环境和职业健康安全管理体系基本适宜、充分和有效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numPr>
                <w:ilvl w:val="0"/>
                <w:numId w:val="0"/>
              </w:numPr>
              <w:spacing w:line="240" w:lineRule="exact"/>
              <w:ind w:leftChars="0"/>
              <w:rPr>
                <w:rFonts w:hint="eastAsia" w:ascii="宋体" w:hAnsi="宋体" w:eastAsia="宋体" w:cs="宋体"/>
                <w:b/>
                <w:sz w:val="21"/>
                <w:szCs w:val="21"/>
              </w:rPr>
            </w:pPr>
            <w:r>
              <w:rPr>
                <w:rFonts w:hint="eastAsia" w:ascii="宋体" w:hAnsi="宋体" w:eastAsia="宋体" w:cs="宋体"/>
                <w:b/>
                <w:sz w:val="21"/>
                <w:szCs w:val="21"/>
                <w:lang w:val="en-US" w:eastAsia="zh-CN"/>
              </w:rPr>
              <w:t>5.</w:t>
            </w:r>
            <w:r>
              <w:rPr>
                <w:rFonts w:hint="eastAsia" w:ascii="宋体" w:hAnsi="宋体" w:eastAsia="宋体" w:cs="宋体"/>
                <w:b/>
                <w:sz w:val="21"/>
                <w:szCs w:val="21"/>
              </w:rPr>
              <w:t xml:space="preserve"> EMS是否按规定对主要污染物（污水、废气、噪声、废渣等）及排放实施了例行的监视或测量，结果是否满足相关要求？</w:t>
            </w:r>
          </w:p>
          <w:p>
            <w:pPr>
              <w:numPr>
                <w:ilvl w:val="0"/>
                <w:numId w:val="0"/>
              </w:numPr>
              <w:spacing w:line="240" w:lineRule="exact"/>
              <w:ind w:leftChars="0"/>
              <w:rPr>
                <w:rFonts w:hint="eastAsia" w:ascii="宋体" w:hAnsi="宋体" w:eastAsia="宋体" w:cs="宋体"/>
                <w:b/>
                <w:sz w:val="21"/>
                <w:szCs w:val="21"/>
                <w:lang w:val="en-US" w:eastAsia="zh-CN"/>
              </w:rPr>
            </w:pPr>
          </w:p>
          <w:p>
            <w:pPr>
              <w:numPr>
                <w:ilvl w:val="0"/>
                <w:numId w:val="0"/>
              </w:numPr>
              <w:spacing w:line="240" w:lineRule="exact"/>
              <w:ind w:leftChars="0"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240" w:lineRule="exact"/>
              <w:ind w:left="105" w:hanging="105" w:hangingChars="50"/>
              <w:rPr>
                <w:rFonts w:hint="eastAsia" w:ascii="宋体" w:hAnsi="宋体" w:eastAsia="宋体" w:cs="宋体"/>
                <w:b/>
                <w:sz w:val="21"/>
                <w:szCs w:val="21"/>
              </w:rPr>
            </w:pPr>
            <w:r>
              <w:rPr>
                <w:rFonts w:hint="eastAsia" w:ascii="宋体" w:hAnsi="宋体" w:eastAsia="宋体" w:cs="宋体"/>
                <w:b/>
                <w:sz w:val="21"/>
                <w:szCs w:val="21"/>
              </w:rPr>
              <w:t xml:space="preserve">6.  EMS国家/地方环保部门监测结果、新改扩建项目符合环评报告、三同时验收报告要求情况及措施(98年后) </w:t>
            </w:r>
          </w:p>
          <w:p>
            <w:pPr>
              <w:spacing w:line="240" w:lineRule="exact"/>
              <w:rPr>
                <w:rFonts w:hint="eastAsia" w:ascii="宋体" w:hAnsi="宋体" w:eastAsia="宋体" w:cs="宋体"/>
                <w:b/>
                <w:sz w:val="21"/>
                <w:szCs w:val="21"/>
                <w:lang w:val="en-US" w:eastAsia="zh-CN"/>
              </w:rPr>
            </w:pPr>
          </w:p>
          <w:p>
            <w:pPr>
              <w:spacing w:line="2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240" w:lineRule="exact"/>
              <w:ind w:left="105" w:hanging="105" w:hangingChars="50"/>
              <w:rPr>
                <w:rFonts w:hint="eastAsia" w:ascii="宋体" w:hAnsi="宋体" w:eastAsia="宋体" w:cs="宋体"/>
                <w:b/>
                <w:sz w:val="21"/>
                <w:szCs w:val="21"/>
              </w:rPr>
            </w:pPr>
            <w:r>
              <w:rPr>
                <w:rFonts w:hint="eastAsia" w:ascii="宋体" w:hAnsi="宋体" w:eastAsia="宋体" w:cs="宋体"/>
                <w:b/>
                <w:sz w:val="21"/>
                <w:szCs w:val="21"/>
              </w:rPr>
              <w:t>7. OHSMS是否按规定对职业健康安全项目进行定期测量，结果是否满足相关要求：</w:t>
            </w:r>
          </w:p>
          <w:p>
            <w:pPr>
              <w:spacing w:line="300" w:lineRule="exact"/>
              <w:rPr>
                <w:rFonts w:hint="eastAsia" w:ascii="宋体" w:hAnsi="宋体" w:eastAsia="宋体" w:cs="宋体"/>
                <w:b/>
                <w:sz w:val="21"/>
                <w:szCs w:val="21"/>
              </w:rPr>
            </w:pPr>
          </w:p>
          <w:p>
            <w:pPr>
              <w:spacing w:line="2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240" w:lineRule="exact"/>
              <w:rPr>
                <w:rFonts w:hint="eastAsia" w:ascii="宋体" w:hAnsi="宋体" w:eastAsia="宋体" w:cs="宋体"/>
                <w:b/>
                <w:sz w:val="21"/>
                <w:szCs w:val="21"/>
              </w:rPr>
            </w:pPr>
            <w:r>
              <w:rPr>
                <w:rFonts w:hint="eastAsia" w:ascii="宋体" w:hAnsi="宋体" w:eastAsia="宋体" w:cs="宋体"/>
                <w:b/>
                <w:sz w:val="21"/>
                <w:szCs w:val="21"/>
              </w:rPr>
              <w:t>8.OHSMS国家/地方职业健康安全部门监督检查情况及措施</w:t>
            </w:r>
          </w:p>
          <w:p>
            <w:pPr>
              <w:spacing w:line="240" w:lineRule="exact"/>
              <w:rPr>
                <w:rFonts w:hint="eastAsia" w:ascii="宋体" w:hAnsi="宋体" w:eastAsia="宋体" w:cs="宋体"/>
                <w:b/>
                <w:sz w:val="21"/>
                <w:szCs w:val="21"/>
                <w:lang w:val="en-US" w:eastAsia="zh-CN"/>
              </w:rPr>
            </w:pPr>
          </w:p>
          <w:p>
            <w:pPr>
              <w:spacing w:line="2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widowControl/>
              <w:numPr>
                <w:ilvl w:val="0"/>
                <w:numId w:val="3"/>
              </w:numPr>
              <w:spacing w:line="240" w:lineRule="exact"/>
              <w:rPr>
                <w:rFonts w:hint="eastAsia" w:ascii="宋体" w:hAnsi="宋体" w:eastAsia="宋体" w:cs="宋体"/>
                <w:b/>
                <w:sz w:val="21"/>
                <w:szCs w:val="21"/>
              </w:rPr>
            </w:pPr>
            <w:r>
              <w:rPr>
                <w:rFonts w:hint="eastAsia" w:ascii="宋体" w:hAnsi="宋体" w:eastAsia="宋体" w:cs="宋体"/>
                <w:b/>
                <w:sz w:val="21"/>
                <w:szCs w:val="21"/>
              </w:rPr>
              <w:t>其他能够标明组织绩效、信誉的证据/信息：</w:t>
            </w:r>
          </w:p>
          <w:p>
            <w:pPr>
              <w:widowControl/>
              <w:numPr>
                <w:ilvl w:val="0"/>
                <w:numId w:val="0"/>
              </w:numPr>
              <w:spacing w:line="240" w:lineRule="exact"/>
              <w:ind w:firstLine="211" w:firstLineChars="100"/>
              <w:rPr>
                <w:rFonts w:hint="eastAsia" w:ascii="宋体" w:hAnsi="宋体" w:eastAsia="宋体" w:cs="宋体"/>
                <w:b/>
                <w:sz w:val="21"/>
                <w:szCs w:val="21"/>
                <w:lang w:val="en-US" w:eastAsia="zh-CN"/>
              </w:rPr>
            </w:pPr>
          </w:p>
          <w:p>
            <w:pPr>
              <w:widowControl/>
              <w:numPr>
                <w:ilvl w:val="0"/>
                <w:numId w:val="0"/>
              </w:numPr>
              <w:spacing w:line="2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720" w:type="dxa"/>
            <w:vMerge w:val="restart"/>
            <w:vAlign w:val="center"/>
          </w:tcPr>
          <w:p>
            <w:pPr>
              <w:spacing w:line="240" w:lineRule="exact"/>
              <w:ind w:left="113" w:right="113"/>
              <w:jc w:val="both"/>
              <w:rPr>
                <w:rFonts w:hint="eastAsia" w:ascii="宋体" w:hAnsi="宋体" w:eastAsia="宋体" w:cs="宋体"/>
                <w:b/>
                <w:sz w:val="21"/>
                <w:szCs w:val="21"/>
              </w:rPr>
            </w:pPr>
            <w:r>
              <w:rPr>
                <w:rFonts w:hint="eastAsia" w:ascii="宋体" w:hAnsi="宋体" w:eastAsia="宋体" w:cs="宋体"/>
                <w:b/>
                <w:sz w:val="21"/>
                <w:szCs w:val="21"/>
              </w:rPr>
              <w:t>(五)持</w:t>
            </w:r>
          </w:p>
          <w:p>
            <w:pPr>
              <w:spacing w:line="240" w:lineRule="exact"/>
              <w:ind w:left="113" w:right="113"/>
              <w:jc w:val="center"/>
              <w:rPr>
                <w:rFonts w:hint="eastAsia" w:ascii="宋体" w:hAnsi="宋体" w:eastAsia="宋体" w:cs="宋体"/>
                <w:b/>
                <w:sz w:val="21"/>
                <w:szCs w:val="21"/>
              </w:rPr>
            </w:pPr>
            <w:r>
              <w:rPr>
                <w:rFonts w:hint="eastAsia" w:ascii="宋体" w:hAnsi="宋体" w:eastAsia="宋体" w:cs="宋体"/>
                <w:b/>
                <w:sz w:val="21"/>
                <w:szCs w:val="21"/>
              </w:rPr>
              <w:t>续</w:t>
            </w:r>
          </w:p>
          <w:p>
            <w:pPr>
              <w:spacing w:line="240" w:lineRule="exact"/>
              <w:ind w:left="113" w:right="113"/>
              <w:jc w:val="center"/>
              <w:rPr>
                <w:rFonts w:hint="eastAsia" w:ascii="宋体" w:hAnsi="宋体" w:eastAsia="宋体" w:cs="宋体"/>
                <w:b/>
                <w:sz w:val="21"/>
                <w:szCs w:val="21"/>
              </w:rPr>
            </w:pPr>
            <w:r>
              <w:rPr>
                <w:rFonts w:hint="eastAsia" w:ascii="宋体" w:hAnsi="宋体" w:eastAsia="宋体" w:cs="宋体"/>
                <w:b/>
                <w:sz w:val="21"/>
                <w:szCs w:val="21"/>
              </w:rPr>
              <w:t>改</w:t>
            </w:r>
          </w:p>
          <w:p>
            <w:pPr>
              <w:spacing w:line="240" w:lineRule="exact"/>
              <w:ind w:left="113" w:right="113"/>
              <w:jc w:val="center"/>
              <w:rPr>
                <w:rFonts w:hint="eastAsia" w:ascii="宋体" w:hAnsi="宋体" w:eastAsia="宋体" w:cs="宋体"/>
                <w:b/>
                <w:sz w:val="21"/>
                <w:szCs w:val="21"/>
              </w:rPr>
            </w:pPr>
            <w:r>
              <w:rPr>
                <w:rFonts w:hint="eastAsia" w:ascii="宋体" w:hAnsi="宋体" w:eastAsia="宋体" w:cs="宋体"/>
                <w:b/>
                <w:sz w:val="21"/>
                <w:szCs w:val="21"/>
              </w:rPr>
              <w:t>进</w:t>
            </w: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1 纠正措施的实施及效果;</w:t>
            </w:r>
          </w:p>
          <w:p>
            <w:pPr>
              <w:spacing w:line="360" w:lineRule="auto"/>
              <w:rPr>
                <w:rFonts w:hint="eastAsia" w:ascii="宋体" w:hAnsi="宋体" w:eastAsia="宋体" w:cs="宋体"/>
                <w:b/>
                <w:sz w:val="21"/>
                <w:szCs w:val="21"/>
              </w:rPr>
            </w:pPr>
            <w:r>
              <w:rPr>
                <w:rFonts w:hint="eastAsia" w:ascii="宋体" w:hAnsi="宋体"/>
                <w:b w:val="0"/>
                <w:bCs/>
                <w:sz w:val="2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spacing w:line="240" w:lineRule="exact"/>
              <w:rPr>
                <w:rFonts w:hint="eastAsia" w:ascii="宋体" w:hAnsi="宋体" w:eastAsia="宋体" w:cs="宋体"/>
                <w:b/>
                <w:sz w:val="21"/>
                <w:szCs w:val="21"/>
              </w:rPr>
            </w:pPr>
            <w:r>
              <w:rPr>
                <w:rFonts w:hint="eastAsia" w:ascii="宋体" w:hAnsi="宋体" w:eastAsia="宋体" w:cs="宋体"/>
                <w:b/>
                <w:sz w:val="21"/>
                <w:szCs w:val="21"/>
              </w:rPr>
              <w:t>2.（上次审核后）重大事故、顾客/相关方投诉：</w:t>
            </w: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r>
              <w:rPr>
                <w:rFonts w:hint="eastAsia"/>
                <w:bCs/>
                <w:color w:val="000000" w:themeColor="text1"/>
                <w:sz w:val="2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numPr>
                <w:ilvl w:val="0"/>
                <w:numId w:val="0"/>
              </w:numPr>
              <w:spacing w:line="360" w:lineRule="auto"/>
              <w:ind w:leftChars="0"/>
              <w:rPr>
                <w:rFonts w:hint="eastAsia" w:ascii="宋体" w:hAnsi="宋体" w:eastAsia="宋体" w:cs="宋体"/>
                <w:b/>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创新情况</w:t>
            </w:r>
          </w:p>
          <w:p>
            <w:pPr>
              <w:numPr>
                <w:ilvl w:val="0"/>
                <w:numId w:val="0"/>
              </w:numPr>
              <w:spacing w:line="360" w:lineRule="auto"/>
              <w:ind w:leftChars="0"/>
              <w:rPr>
                <w:rFonts w:hint="eastAsia" w:ascii="宋体" w:hAnsi="宋体" w:eastAsia="宋体" w:cs="宋体"/>
                <w:b/>
                <w:sz w:val="21"/>
                <w:szCs w:val="21"/>
                <w:lang w:eastAsia="zh-CN"/>
              </w:rPr>
            </w:pPr>
            <w:r>
              <w:rPr>
                <w:rFonts w:hint="eastAsia" w:ascii="宋体" w:hAnsi="宋体" w:cs="宋体"/>
                <w:sz w:val="21"/>
                <w:szCs w:val="21"/>
              </w:rPr>
              <w:t>软件系统成果，</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lang w:val="en-US" w:eastAsia="zh-CN"/>
              </w:rPr>
              <w:t>新图社会稳定风险评估</w:t>
            </w:r>
            <w:r>
              <w:rPr>
                <w:rFonts w:hint="eastAsia" w:ascii="宋体" w:hAnsi="宋体" w:cs="宋体"/>
                <w:color w:val="000000" w:themeColor="text1"/>
                <w:sz w:val="21"/>
                <w:szCs w:val="21"/>
              </w:rPr>
              <w:t>软件著作权</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lang w:val="en-US" w:eastAsia="zh-CN"/>
              </w:rPr>
              <w:t>等13项</w:t>
            </w:r>
            <w:r>
              <w:rPr>
                <w:rFonts w:hint="eastAsia" w:ascii="宋体" w:hAnsi="宋体" w:cs="宋体"/>
                <w:sz w:val="21"/>
                <w:szCs w:val="21"/>
                <w:lang w:val="en-US" w:eastAsia="zh-CN"/>
              </w:rPr>
              <w:t>获</w:t>
            </w:r>
            <w:r>
              <w:rPr>
                <w:rFonts w:hint="eastAsia" w:ascii="宋体" w:hAnsi="宋体" w:cs="宋体"/>
                <w:color w:val="000000" w:themeColor="text1"/>
                <w:sz w:val="21"/>
                <w:szCs w:val="21"/>
              </w:rPr>
              <w:t>软件著作权</w:t>
            </w:r>
            <w:r>
              <w:rPr>
                <w:rFonts w:hint="eastAsia" w:ascii="宋体" w:hAnsi="宋体" w:cs="宋体"/>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rFonts w:hint="eastAsia" w:ascii="宋体" w:hAnsi="宋体" w:eastAsia="宋体" w:cs="宋体"/>
                <w:b/>
                <w:sz w:val="21"/>
                <w:szCs w:val="21"/>
              </w:rPr>
            </w:pPr>
          </w:p>
        </w:tc>
        <w:tc>
          <w:tcPr>
            <w:tcW w:w="9198" w:type="dxa"/>
          </w:tcPr>
          <w:p>
            <w:pPr>
              <w:numPr>
                <w:ilvl w:val="0"/>
                <w:numId w:val="1"/>
              </w:numPr>
              <w:spacing w:line="240" w:lineRule="exact"/>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上次不符合的整改情况</w:t>
            </w:r>
          </w:p>
          <w:p>
            <w:pPr>
              <w:numPr>
                <w:ilvl w:val="0"/>
                <w:numId w:val="0"/>
              </w:numPr>
              <w:spacing w:line="360" w:lineRule="auto"/>
              <w:ind w:leftChars="0"/>
              <w:rPr>
                <w:rFonts w:hint="eastAsia" w:ascii="宋体" w:hAnsi="宋体" w:eastAsia="宋体" w:cs="宋体"/>
                <w:b/>
                <w:sz w:val="21"/>
                <w:szCs w:val="21"/>
              </w:rPr>
            </w:pPr>
            <w:r>
              <w:rPr>
                <w:rFonts w:hint="eastAsia" w:ascii="宋体" w:hAnsi="宋体" w:cs="宋体"/>
                <w:sz w:val="21"/>
                <w:szCs w:val="21"/>
                <w:lang w:val="en-US" w:eastAsia="zh-CN" w:bidi="ar"/>
              </w:rPr>
              <w:t>2018年初审时涉及的不符合</w:t>
            </w:r>
            <w:r>
              <w:rPr>
                <w:rFonts w:hint="eastAsia" w:ascii="宋体" w:hAnsi="宋体" w:cs="宋体"/>
                <w:sz w:val="21"/>
                <w:szCs w:val="21"/>
                <w:lang w:eastAsia="zh-CN" w:bidi="ar"/>
              </w:rPr>
              <w:t>ISO9001:2015标准</w:t>
            </w:r>
            <w:r>
              <w:rPr>
                <w:rFonts w:hint="eastAsia" w:ascii="宋体" w:hAnsi="宋体" w:cs="宋体"/>
                <w:sz w:val="21"/>
                <w:szCs w:val="21"/>
                <w:lang w:val="en-US" w:eastAsia="zh-CN" w:bidi="ar"/>
              </w:rPr>
              <w:t>7.2d)</w:t>
            </w:r>
            <w:r>
              <w:rPr>
                <w:rFonts w:hint="eastAsia" w:ascii="宋体" w:hAnsi="宋体"/>
                <w:color w:val="000000" w:themeColor="text1"/>
                <w:sz w:val="21"/>
                <w:szCs w:val="21"/>
              </w:rPr>
              <w:t>的问题</w:t>
            </w:r>
            <w:r>
              <w:rPr>
                <w:rFonts w:hint="eastAsia" w:ascii="宋体" w:hAnsi="宋体" w:cs="宋体"/>
                <w:sz w:val="21"/>
                <w:szCs w:val="21"/>
                <w:lang w:val="en-US" w:eastAsia="zh-CN" w:bidi="ar"/>
              </w:rPr>
              <w:t>，</w:t>
            </w:r>
            <w:r>
              <w:rPr>
                <w:rFonts w:hint="eastAsia" w:ascii="宋体" w:hAnsi="宋体"/>
                <w:color w:val="000000" w:themeColor="text1"/>
                <w:sz w:val="21"/>
                <w:szCs w:val="21"/>
              </w:rPr>
              <w:t>经现场验证已关闭，整改措施有效。</w:t>
            </w:r>
          </w:p>
        </w:tc>
      </w:tr>
    </w:tbl>
    <w:p>
      <w:pPr>
        <w:tabs>
          <w:tab w:val="left" w:pos="645"/>
        </w:tabs>
        <w:spacing w:after="163" w:afterLines="50" w:line="360" w:lineRule="exact"/>
        <w:rPr>
          <w:b/>
          <w:sz w:val="21"/>
          <w:szCs w:val="21"/>
        </w:rPr>
      </w:pPr>
    </w:p>
    <w:p>
      <w:pPr>
        <w:tabs>
          <w:tab w:val="left" w:pos="645"/>
        </w:tabs>
        <w:spacing w:after="163" w:afterLines="50" w:line="360" w:lineRule="exact"/>
        <w:rPr>
          <w:b/>
          <w:sz w:val="21"/>
          <w:szCs w:val="21"/>
        </w:rPr>
      </w:pPr>
      <w:r>
        <w:rPr>
          <w:rFonts w:hint="eastAsia"/>
          <w:b/>
          <w:sz w:val="21"/>
          <w:szCs w:val="21"/>
        </w:rPr>
        <w:t>七、其它需要说明的问题</w:t>
      </w:r>
    </w:p>
    <w:p>
      <w:pPr>
        <w:snapToGrid w:val="0"/>
        <w:spacing w:line="360" w:lineRule="auto"/>
        <w:ind w:left="-211" w:leftChars="-88" w:firstLine="426" w:firstLineChars="223"/>
        <w:rPr>
          <w:rFonts w:ascii="宋体"/>
          <w:b/>
          <w:sz w:val="21"/>
          <w:szCs w:val="21"/>
        </w:rPr>
      </w:pPr>
      <w:r>
        <w:rPr>
          <w:rFonts w:hint="eastAsia"/>
          <w:b/>
          <w:spacing w:val="-10"/>
          <w:sz w:val="21"/>
          <w:szCs w:val="21"/>
        </w:rPr>
        <w:t>□</w:t>
      </w:r>
      <w:r>
        <w:rPr>
          <w:rFonts w:hint="eastAsia" w:ascii="宋体" w:hAnsi="宋体"/>
          <w:b/>
          <w:sz w:val="21"/>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70" w:firstLineChars="223"/>
              <w:rPr>
                <w:b/>
                <w:spacing w:val="-10"/>
                <w:sz w:val="21"/>
                <w:szCs w:val="21"/>
              </w:rPr>
            </w:pPr>
            <w:r>
              <w:rPr>
                <w:rFonts w:hint="eastAsia" w:ascii="宋体" w:hAnsi="宋体"/>
                <w:b/>
                <w:sz w:val="21"/>
                <w:szCs w:val="21"/>
              </w:rPr>
              <w:t>影响本次审核结论可靠性的因素</w:t>
            </w:r>
          </w:p>
        </w:tc>
        <w:tc>
          <w:tcPr>
            <w:tcW w:w="4712" w:type="dxa"/>
          </w:tcPr>
          <w:p>
            <w:pPr>
              <w:snapToGrid w:val="0"/>
              <w:spacing w:line="360" w:lineRule="auto"/>
              <w:ind w:left="-211" w:leftChars="-88" w:firstLine="470" w:firstLineChars="223"/>
              <w:rPr>
                <w:rFonts w:ascii="宋体"/>
                <w:b/>
                <w:sz w:val="21"/>
                <w:szCs w:val="21"/>
              </w:rPr>
            </w:pPr>
            <w:r>
              <w:rPr>
                <w:rFonts w:hint="eastAsia" w:ascii="宋体" w:hAnsi="宋体"/>
                <w:b/>
                <w:sz w:val="2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26" w:firstLineChars="223"/>
              <w:rPr>
                <w:rFonts w:ascii="宋体"/>
                <w:b/>
                <w:sz w:val="21"/>
                <w:szCs w:val="21"/>
              </w:rPr>
            </w:pPr>
            <w:r>
              <w:rPr>
                <w:rFonts w:hint="eastAsia"/>
                <w:b/>
                <w:spacing w:val="-10"/>
                <w:sz w:val="21"/>
                <w:szCs w:val="21"/>
              </w:rPr>
              <w:t>□</w:t>
            </w:r>
            <w:r>
              <w:rPr>
                <w:rFonts w:hint="eastAsia" w:ascii="宋体" w:hAnsi="宋体"/>
                <w:b/>
                <w:sz w:val="21"/>
                <w:szCs w:val="21"/>
              </w:rPr>
              <w:t>样本量不足</w:t>
            </w:r>
          </w:p>
        </w:tc>
        <w:tc>
          <w:tcPr>
            <w:tcW w:w="4712" w:type="dxa"/>
          </w:tcPr>
          <w:p>
            <w:pPr>
              <w:snapToGrid w:val="0"/>
              <w:spacing w:line="360" w:lineRule="auto"/>
              <w:ind w:left="-211" w:leftChars="-88" w:firstLine="470" w:firstLineChars="223"/>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26" w:firstLineChars="223"/>
              <w:rPr>
                <w:rFonts w:ascii="宋体"/>
                <w:b/>
                <w:color w:val="FF0000"/>
                <w:sz w:val="21"/>
                <w:szCs w:val="21"/>
              </w:rPr>
            </w:pPr>
            <w:r>
              <w:rPr>
                <w:rFonts w:hint="eastAsia"/>
                <w:b/>
                <w:spacing w:val="-10"/>
                <w:sz w:val="21"/>
                <w:szCs w:val="21"/>
              </w:rPr>
              <w:t>□</w:t>
            </w:r>
            <w:r>
              <w:rPr>
                <w:rFonts w:hint="eastAsia" w:ascii="宋体" w:hAnsi="宋体"/>
                <w:b/>
                <w:sz w:val="21"/>
                <w:szCs w:val="21"/>
              </w:rPr>
              <w:t>知识产权保护</w:t>
            </w:r>
          </w:p>
        </w:tc>
        <w:tc>
          <w:tcPr>
            <w:tcW w:w="4712" w:type="dxa"/>
          </w:tcPr>
          <w:p>
            <w:pPr>
              <w:snapToGrid w:val="0"/>
              <w:spacing w:line="360" w:lineRule="auto"/>
              <w:ind w:left="-211" w:leftChars="-88" w:firstLine="470" w:firstLineChars="223"/>
              <w:rPr>
                <w:rFonts w:ascii="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26" w:firstLineChars="223"/>
              <w:rPr>
                <w:rFonts w:ascii="宋体"/>
                <w:b/>
                <w:color w:val="FF0000"/>
                <w:sz w:val="21"/>
                <w:szCs w:val="21"/>
              </w:rPr>
            </w:pPr>
            <w:r>
              <w:rPr>
                <w:rFonts w:hint="eastAsia"/>
                <w:b/>
                <w:spacing w:val="-10"/>
                <w:sz w:val="21"/>
                <w:szCs w:val="21"/>
              </w:rPr>
              <w:t>□</w:t>
            </w:r>
            <w:r>
              <w:rPr>
                <w:rFonts w:hint="eastAsia" w:ascii="宋体" w:hAnsi="宋体"/>
                <w:b/>
                <w:sz w:val="21"/>
                <w:szCs w:val="21"/>
              </w:rPr>
              <w:t>因受审核方信息造成的日数或审核资源不足</w:t>
            </w:r>
          </w:p>
        </w:tc>
        <w:tc>
          <w:tcPr>
            <w:tcW w:w="4712" w:type="dxa"/>
          </w:tcPr>
          <w:p>
            <w:pPr>
              <w:snapToGrid w:val="0"/>
              <w:spacing w:line="360" w:lineRule="auto"/>
              <w:ind w:left="-211" w:leftChars="-88" w:firstLine="470" w:firstLineChars="223"/>
              <w:rPr>
                <w:rFonts w:ascii="宋体"/>
                <w:b/>
                <w:color w:val="FF0000"/>
                <w:sz w:val="21"/>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26" w:firstLineChars="223"/>
        <w:rPr>
          <w:rFonts w:ascii="宋体"/>
          <w:b/>
          <w:sz w:val="21"/>
          <w:szCs w:val="21"/>
        </w:rPr>
      </w:pPr>
      <w:r>
        <w:rPr>
          <w:rFonts w:hint="eastAsia"/>
          <w:b/>
          <w:spacing w:val="-10"/>
          <w:sz w:val="21"/>
          <w:szCs w:val="21"/>
          <w:lang w:eastAsia="zh-CN"/>
        </w:rPr>
        <w:t>☑</w:t>
      </w:r>
      <w:r>
        <w:rPr>
          <w:rFonts w:hint="eastAsia" w:ascii="宋体" w:hAnsi="宋体"/>
          <w:b/>
          <w:sz w:val="21"/>
          <w:szCs w:val="21"/>
        </w:rPr>
        <w:t>达到审核目的</w:t>
      </w:r>
    </w:p>
    <w:p>
      <w:pPr>
        <w:snapToGrid w:val="0"/>
        <w:spacing w:line="360" w:lineRule="auto"/>
        <w:ind w:left="-211" w:leftChars="-88" w:firstLine="426" w:firstLineChars="223"/>
        <w:rPr>
          <w:rFonts w:ascii="宋体"/>
          <w:b/>
          <w:sz w:val="21"/>
          <w:szCs w:val="21"/>
        </w:rPr>
      </w:pPr>
      <w:r>
        <w:rPr>
          <w:rFonts w:hint="eastAsia"/>
          <w:b/>
          <w:spacing w:val="-10"/>
          <w:sz w:val="21"/>
          <w:szCs w:val="21"/>
        </w:rPr>
        <w:t>□未</w:t>
      </w:r>
      <w:r>
        <w:rPr>
          <w:rFonts w:hint="eastAsia" w:ascii="宋体" w:hAnsi="宋体"/>
          <w:b/>
          <w:sz w:val="21"/>
          <w:szCs w:val="21"/>
        </w:rPr>
        <w:t>达到审核目的，未达到目的的原因是：</w:t>
      </w:r>
    </w:p>
    <w:p>
      <w:pPr>
        <w:tabs>
          <w:tab w:val="left" w:pos="645"/>
        </w:tabs>
        <w:spacing w:before="163" w:beforeLines="50" w:after="163" w:afterLines="50" w:line="360" w:lineRule="exact"/>
        <w:rPr>
          <w:b/>
          <w:sz w:val="21"/>
          <w:szCs w:val="21"/>
        </w:rPr>
      </w:pPr>
      <w:r>
        <w:rPr>
          <w:rFonts w:hint="eastAsia"/>
          <w:b/>
          <w:sz w:val="21"/>
          <w:szCs w:val="21"/>
        </w:rPr>
        <w:t>八、本次审核不符合项</w:t>
      </w:r>
    </w:p>
    <w:p>
      <w:pPr>
        <w:spacing w:line="400" w:lineRule="exact"/>
        <w:ind w:left="420" w:leftChars="175" w:firstLine="89" w:firstLineChars="42"/>
        <w:rPr>
          <w:rFonts w:ascii="宋体" w:hAnsi="宋体"/>
          <w:b/>
          <w:sz w:val="21"/>
          <w:szCs w:val="21"/>
        </w:rPr>
      </w:pPr>
      <w:r>
        <w:rPr>
          <w:rFonts w:hint="eastAsia" w:ascii="宋体" w:hAnsi="宋体"/>
          <w:b/>
          <w:sz w:val="21"/>
          <w:szCs w:val="21"/>
        </w:rPr>
        <w:t>本次审核共开具</w:t>
      </w:r>
      <w:r>
        <w:rPr>
          <w:rFonts w:hint="eastAsia" w:ascii="宋体" w:hAnsi="宋体"/>
          <w:b/>
          <w:sz w:val="21"/>
          <w:szCs w:val="21"/>
          <w:lang w:val="en-US" w:eastAsia="zh-CN"/>
        </w:rPr>
        <w:t>1</w:t>
      </w:r>
      <w:r>
        <w:rPr>
          <w:rFonts w:hint="eastAsia" w:ascii="宋体" w:hAnsi="宋体"/>
          <w:b/>
          <w:sz w:val="21"/>
          <w:szCs w:val="21"/>
        </w:rPr>
        <w:t>不符合项报告项；其中</w:t>
      </w:r>
      <w:r>
        <w:rPr>
          <w:rFonts w:ascii="宋体" w:hAnsi="宋体"/>
          <w:b/>
          <w:sz w:val="21"/>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 w:val="21"/>
          <w:szCs w:val="21"/>
        </w:rPr>
        <w:t>严重不符合项，一般不符合项，观察项项分布在部门条款，见不符合项分布表。（</w:t>
      </w:r>
      <w:r>
        <w:rPr>
          <w:rFonts w:ascii="宋体" w:hAnsi="宋体"/>
          <w:b/>
          <w:sz w:val="21"/>
          <w:szCs w:val="21"/>
        </w:rPr>
        <w:t>Q/J/E/S</w:t>
      </w:r>
      <w:r>
        <w:rPr>
          <w:rFonts w:hint="eastAsia" w:ascii="宋体" w:hAnsi="宋体"/>
          <w:b/>
          <w:sz w:val="21"/>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1" w:hRule="atLeast"/>
          <w:jc w:val="center"/>
        </w:trPr>
        <w:tc>
          <w:tcPr>
            <w:tcW w:w="9523" w:type="dxa"/>
            <w:vAlign w:val="center"/>
          </w:tcPr>
          <w:p>
            <w:pPr>
              <w:spacing w:line="360" w:lineRule="auto"/>
              <w:jc w:val="left"/>
              <w:rPr>
                <w:rFonts w:ascii="宋体" w:hAnsi="宋体"/>
                <w:b/>
                <w:sz w:val="21"/>
                <w:szCs w:val="21"/>
              </w:rPr>
            </w:pPr>
            <w:r>
              <w:rPr>
                <w:rFonts w:ascii="宋体" w:hAnsi="宋体"/>
                <w:b/>
                <w:sz w:val="21"/>
                <w:szCs w:val="21"/>
              </w:rPr>
              <w:t>1.</w:t>
            </w:r>
            <w:r>
              <w:rPr>
                <w:rFonts w:hint="eastAsia" w:ascii="宋体" w:hAnsi="宋体"/>
                <w:b/>
                <w:sz w:val="21"/>
                <w:szCs w:val="21"/>
                <w:lang w:eastAsia="zh-CN"/>
              </w:rPr>
              <w:t>☑</w:t>
            </w:r>
            <w:r>
              <w:rPr>
                <w:rFonts w:ascii="宋体" w:hAnsi="宋体"/>
                <w:b/>
                <w:sz w:val="21"/>
                <w:szCs w:val="21"/>
              </w:rPr>
              <w:t>QMS</w:t>
            </w:r>
            <w:r>
              <w:rPr>
                <w:rFonts w:hint="eastAsia" w:ascii="宋体" w:hAnsi="宋体"/>
                <w:b/>
                <w:sz w:val="21"/>
                <w:szCs w:val="21"/>
              </w:rPr>
              <w:t>□50430</w:t>
            </w:r>
            <w:r>
              <w:rPr>
                <w:rFonts w:hint="eastAsia" w:ascii="宋体" w:hAnsi="宋体"/>
                <w:b/>
                <w:sz w:val="21"/>
                <w:szCs w:val="21"/>
                <w:lang w:eastAsia="zh-CN"/>
              </w:rPr>
              <w:t>☑</w:t>
            </w:r>
            <w:r>
              <w:rPr>
                <w:rFonts w:ascii="宋体" w:hAnsi="宋体"/>
                <w:b/>
                <w:sz w:val="21"/>
                <w:szCs w:val="21"/>
              </w:rPr>
              <w:t xml:space="preserve">EMS  </w:t>
            </w:r>
            <w:r>
              <w:rPr>
                <w:rFonts w:hint="eastAsia" w:ascii="宋体" w:hAnsi="宋体"/>
                <w:b/>
                <w:sz w:val="21"/>
                <w:szCs w:val="21"/>
                <w:lang w:eastAsia="zh-CN"/>
              </w:rPr>
              <w:t>☑</w:t>
            </w:r>
            <w:r>
              <w:rPr>
                <w:rFonts w:ascii="宋体" w:hAnsi="宋体"/>
                <w:b/>
                <w:sz w:val="21"/>
                <w:szCs w:val="21"/>
              </w:rPr>
              <w:t>OHSMS</w:t>
            </w:r>
          </w:p>
          <w:p>
            <w:pPr>
              <w:spacing w:line="360" w:lineRule="auto"/>
              <w:rPr>
                <w:rFonts w:ascii="宋体" w:hAnsi="宋体"/>
                <w:b/>
                <w:sz w:val="21"/>
                <w:szCs w:val="21"/>
              </w:rPr>
            </w:pPr>
            <w:r>
              <w:rPr>
                <w:rFonts w:hint="eastAsia" w:ascii="宋体" w:hAnsi="宋体"/>
                <w:b/>
                <w:sz w:val="21"/>
                <w:szCs w:val="21"/>
              </w:rPr>
              <w:t>的适宜性、充分性、运行有效性，自我完善机制等，管理体系满足适用要求和实现预期结果的能力。</w:t>
            </w:r>
          </w:p>
          <w:p>
            <w:pPr>
              <w:spacing w:line="360" w:lineRule="auto"/>
              <w:ind w:left="316" w:leftChars="88" w:hanging="105" w:hangingChars="50"/>
              <w:rPr>
                <w:rFonts w:ascii="宋体" w:hAnsi="宋体"/>
                <w:b/>
                <w:sz w:val="21"/>
                <w:szCs w:val="21"/>
              </w:rPr>
            </w:pPr>
            <w:r>
              <w:rPr>
                <w:rFonts w:ascii="宋体" w:hAnsi="宋体"/>
                <w:b/>
                <w:sz w:val="21"/>
                <w:szCs w:val="21"/>
              </w:rPr>
              <w:t>(</w:t>
            </w:r>
            <w:r>
              <w:rPr>
                <w:rFonts w:hint="eastAsia" w:ascii="宋体" w:hAnsi="宋体"/>
                <w:b/>
                <w:sz w:val="21"/>
                <w:szCs w:val="21"/>
              </w:rPr>
              <w:t>描述组织的管理体系在认证周期内持续对过程控制的情况，持续满足标准要求和目标方面的有效性，向顾客提供稳定、合格产品，满足适用的环境</w:t>
            </w:r>
            <w:r>
              <w:rPr>
                <w:rFonts w:ascii="宋体" w:hAnsi="宋体"/>
                <w:b/>
                <w:sz w:val="21"/>
                <w:szCs w:val="21"/>
              </w:rPr>
              <w:t>/</w:t>
            </w:r>
            <w:r>
              <w:rPr>
                <w:rFonts w:hint="eastAsia" w:ascii="宋体" w:hAnsi="宋体"/>
                <w:b/>
                <w:sz w:val="21"/>
                <w:szCs w:val="21"/>
              </w:rPr>
              <w:t>职业健康安全法规、防止污染、重大事故和持续改进而策划的活动的情况；扩大范围部分体系运行情况</w:t>
            </w:r>
            <w:r>
              <w:rPr>
                <w:rFonts w:ascii="宋体" w:hAnsi="宋体"/>
                <w:b/>
                <w:sz w:val="21"/>
                <w:szCs w:val="21"/>
              </w:rPr>
              <w:t>)</w:t>
            </w:r>
          </w:p>
          <w:p>
            <w:pPr>
              <w:spacing w:line="360" w:lineRule="auto"/>
              <w:ind w:firstLine="210" w:firstLineChars="100"/>
              <w:rPr>
                <w:rFonts w:hint="eastAsia" w:ascii="宋体" w:hAnsi="宋体" w:eastAsia="宋体"/>
                <w:b/>
                <w:sz w:val="21"/>
                <w:szCs w:val="21"/>
                <w:lang w:eastAsia="zh-CN"/>
              </w:rPr>
            </w:pPr>
            <w:r>
              <w:rPr>
                <w:rFonts w:hint="eastAsia"/>
                <w:b w:val="0"/>
                <w:bCs w:val="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推荐保持</w:t>
            </w:r>
            <w:r>
              <w:rPr>
                <w:rFonts w:hint="eastAsia"/>
                <w:b w:val="0"/>
                <w:bCs w:val="0"/>
                <w:sz w:val="21"/>
                <w:szCs w:val="21"/>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rFonts w:ascii="宋体" w:hAnsi="宋体"/>
                <w:b/>
                <w:sz w:val="21"/>
                <w:szCs w:val="21"/>
              </w:rPr>
              <w:t xml:space="preserve">2. </w:t>
            </w:r>
            <w:r>
              <w:rPr>
                <w:rFonts w:hint="eastAsia" w:ascii="宋体" w:hAnsi="宋体"/>
                <w:b/>
                <w:sz w:val="21"/>
                <w:szCs w:val="21"/>
              </w:rPr>
              <w:t>审核组推荐意见：</w:t>
            </w:r>
          </w:p>
          <w:p>
            <w:pPr>
              <w:keepNext w:val="0"/>
              <w:keepLines w:val="0"/>
              <w:pageBreakBefore w:val="0"/>
              <w:widowControl w:val="0"/>
              <w:kinsoku/>
              <w:wordWrap/>
              <w:overflowPunct/>
              <w:topLinePunct w:val="0"/>
              <w:autoSpaceDE/>
              <w:autoSpaceDN/>
              <w:bidi w:val="0"/>
              <w:adjustRightInd/>
              <w:snapToGrid/>
              <w:spacing w:line="360" w:lineRule="exact"/>
              <w:ind w:firstLine="316" w:firstLineChars="150"/>
              <w:textAlignment w:val="auto"/>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推荐保持（</w:t>
            </w:r>
            <w:r>
              <w:rPr>
                <w:rFonts w:hint="eastAsia" w:ascii="宋体" w:hAnsi="宋体"/>
                <w:b/>
                <w:sz w:val="21"/>
                <w:szCs w:val="21"/>
                <w:lang w:eastAsia="zh-CN"/>
              </w:rPr>
              <w:t>☑</w:t>
            </w:r>
            <w:r>
              <w:rPr>
                <w:rFonts w:ascii="宋体" w:hAnsi="宋体"/>
                <w:b/>
                <w:sz w:val="21"/>
                <w:szCs w:val="21"/>
              </w:rPr>
              <w:t>QMS</w:t>
            </w:r>
            <w:r>
              <w:rPr>
                <w:rFonts w:hint="eastAsia" w:ascii="宋体" w:hAnsi="宋体"/>
                <w:b/>
                <w:sz w:val="21"/>
                <w:szCs w:val="21"/>
              </w:rPr>
              <w:t>□50430</w:t>
            </w:r>
            <w:r>
              <w:rPr>
                <w:rFonts w:hint="eastAsia" w:ascii="宋体" w:hAnsi="宋体"/>
                <w:b/>
                <w:sz w:val="21"/>
                <w:szCs w:val="21"/>
                <w:lang w:eastAsia="zh-CN"/>
              </w:rPr>
              <w:t>☑</w:t>
            </w:r>
            <w:r>
              <w:rPr>
                <w:rFonts w:ascii="宋体" w:hAnsi="宋体"/>
                <w:b/>
                <w:sz w:val="21"/>
                <w:szCs w:val="21"/>
              </w:rPr>
              <w:t xml:space="preserve">EMS  </w:t>
            </w:r>
            <w:r>
              <w:rPr>
                <w:rFonts w:hint="eastAsia" w:ascii="宋体" w:hAnsi="宋体"/>
                <w:b/>
                <w:sz w:val="21"/>
                <w:szCs w:val="21"/>
                <w:lang w:eastAsia="zh-CN"/>
              </w:rPr>
              <w:t>☑</w:t>
            </w:r>
            <w:r>
              <w:rPr>
                <w:rFonts w:ascii="宋体" w:hAnsi="宋体"/>
                <w:b/>
                <w:sz w:val="21"/>
                <w:szCs w:val="21"/>
              </w:rPr>
              <w:t>OHSMS</w:t>
            </w:r>
          </w:p>
          <w:p>
            <w:pPr>
              <w:keepNext w:val="0"/>
              <w:keepLines w:val="0"/>
              <w:pageBreakBefore w:val="0"/>
              <w:widowControl w:val="0"/>
              <w:kinsoku/>
              <w:wordWrap/>
              <w:overflowPunct/>
              <w:topLinePunct w:val="0"/>
              <w:autoSpaceDE/>
              <w:autoSpaceDN/>
              <w:bidi w:val="0"/>
              <w:adjustRightInd/>
              <w:snapToGrid/>
              <w:spacing w:line="360" w:lineRule="exact"/>
              <w:ind w:firstLine="316" w:firstLineChars="150"/>
              <w:textAlignment w:val="auto"/>
              <w:rPr>
                <w:rFonts w:ascii="宋体" w:hAnsi="宋体"/>
                <w:b/>
                <w:sz w:val="21"/>
                <w:szCs w:val="21"/>
              </w:rPr>
            </w:pPr>
            <w:r>
              <w:rPr>
                <w:rFonts w:hint="eastAsia" w:ascii="宋体" w:hAnsi="宋体"/>
                <w:b/>
                <w:sz w:val="21"/>
                <w:szCs w:val="21"/>
              </w:rPr>
              <w:t>□</w:t>
            </w:r>
            <w:r>
              <w:rPr>
                <w:rFonts w:ascii="宋体" w:hAnsi="宋体"/>
                <w:b/>
                <w:sz w:val="21"/>
                <w:szCs w:val="21"/>
              </w:rPr>
              <w:t>(</w:t>
            </w:r>
            <w:r>
              <w:rPr>
                <w:rFonts w:hint="eastAsia" w:ascii="宋体" w:hAnsi="宋体"/>
                <w:b/>
                <w:sz w:val="21"/>
                <w:szCs w:val="21"/>
              </w:rPr>
              <w:t>在完成纠正措施后</w:t>
            </w:r>
            <w:r>
              <w:rPr>
                <w:rFonts w:ascii="宋体" w:hAnsi="宋体"/>
                <w:b/>
                <w:sz w:val="21"/>
                <w:szCs w:val="21"/>
              </w:rPr>
              <w:t>)</w:t>
            </w:r>
            <w:r>
              <w:rPr>
                <w:rFonts w:hint="eastAsia" w:ascii="宋体" w:hAnsi="宋体"/>
                <w:b/>
                <w:sz w:val="21"/>
                <w:szCs w:val="21"/>
              </w:rPr>
              <w:t>推荐保持（□</w:t>
            </w:r>
            <w:r>
              <w:rPr>
                <w:rFonts w:ascii="宋体" w:hAnsi="宋体"/>
                <w:b/>
                <w:sz w:val="21"/>
                <w:szCs w:val="21"/>
              </w:rPr>
              <w:t>QMS</w:t>
            </w:r>
            <w:r>
              <w:rPr>
                <w:rFonts w:hint="eastAsia" w:ascii="宋体" w:hAnsi="宋体"/>
                <w:b/>
                <w:sz w:val="21"/>
                <w:szCs w:val="21"/>
              </w:rPr>
              <w:t>□50430□</w:t>
            </w:r>
            <w:r>
              <w:rPr>
                <w:rFonts w:ascii="宋体" w:hAnsi="宋体"/>
                <w:b/>
                <w:sz w:val="21"/>
                <w:szCs w:val="21"/>
              </w:rPr>
              <w:t xml:space="preserve">EMS  </w:t>
            </w:r>
            <w:r>
              <w:rPr>
                <w:rFonts w:hint="eastAsia" w:ascii="宋体" w:hAnsi="宋体"/>
                <w:b/>
                <w:sz w:val="21"/>
                <w:szCs w:val="21"/>
              </w:rPr>
              <w:t>□</w:t>
            </w:r>
            <w:r>
              <w:rPr>
                <w:rFonts w:ascii="宋体" w:hAnsi="宋体"/>
                <w:b/>
                <w:sz w:val="21"/>
                <w:szCs w:val="21"/>
              </w:rPr>
              <w:t>OHSMS</w:t>
            </w:r>
          </w:p>
          <w:p>
            <w:pPr>
              <w:keepNext w:val="0"/>
              <w:keepLines w:val="0"/>
              <w:pageBreakBefore w:val="0"/>
              <w:widowControl w:val="0"/>
              <w:kinsoku/>
              <w:wordWrap/>
              <w:overflowPunct/>
              <w:topLinePunct w:val="0"/>
              <w:autoSpaceDE/>
              <w:autoSpaceDN/>
              <w:bidi w:val="0"/>
              <w:adjustRightInd/>
              <w:snapToGrid/>
              <w:spacing w:line="360" w:lineRule="exact"/>
              <w:ind w:firstLine="316" w:firstLineChars="150"/>
              <w:textAlignment w:val="auto"/>
              <w:rPr>
                <w:rFonts w:ascii="宋体" w:hAnsi="宋体"/>
                <w:b/>
                <w:sz w:val="21"/>
                <w:szCs w:val="21"/>
              </w:rPr>
            </w:pPr>
            <w:r>
              <w:rPr>
                <w:rFonts w:hint="eastAsia" w:ascii="宋体" w:hAnsi="宋体"/>
                <w:b/>
                <w:sz w:val="21"/>
                <w:szCs w:val="21"/>
              </w:rPr>
              <w:t>□延期推荐（□</w:t>
            </w:r>
            <w:r>
              <w:rPr>
                <w:rFonts w:ascii="宋体" w:hAnsi="宋体"/>
                <w:b/>
                <w:sz w:val="21"/>
                <w:szCs w:val="21"/>
              </w:rPr>
              <w:t>QMS</w:t>
            </w:r>
            <w:r>
              <w:rPr>
                <w:rFonts w:hint="eastAsia" w:ascii="宋体" w:hAnsi="宋体"/>
                <w:b/>
                <w:sz w:val="21"/>
                <w:szCs w:val="21"/>
              </w:rPr>
              <w:t>□50430□</w:t>
            </w:r>
            <w:r>
              <w:rPr>
                <w:rFonts w:ascii="宋体" w:hAnsi="宋体"/>
                <w:b/>
                <w:sz w:val="21"/>
                <w:szCs w:val="21"/>
              </w:rPr>
              <w:t xml:space="preserve">EMS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316" w:firstLineChars="150"/>
              <w:textAlignment w:val="auto"/>
              <w:rPr>
                <w:rFonts w:ascii="宋体" w:hAnsi="宋体"/>
                <w:b/>
                <w:sz w:val="21"/>
                <w:szCs w:val="21"/>
              </w:rPr>
            </w:pPr>
            <w:r>
              <w:rPr>
                <w:rFonts w:hint="eastAsia" w:ascii="宋体" w:hAnsi="宋体"/>
                <w:b/>
                <w:sz w:val="21"/>
                <w:szCs w:val="21"/>
              </w:rPr>
              <w:t>□不推荐（□</w:t>
            </w:r>
            <w:r>
              <w:rPr>
                <w:rFonts w:ascii="宋体" w:hAnsi="宋体"/>
                <w:b/>
                <w:sz w:val="21"/>
                <w:szCs w:val="21"/>
              </w:rPr>
              <w:t>QMS</w:t>
            </w:r>
            <w:r>
              <w:rPr>
                <w:rFonts w:hint="eastAsia" w:ascii="宋体" w:hAnsi="宋体"/>
                <w:b/>
                <w:sz w:val="21"/>
                <w:szCs w:val="21"/>
              </w:rPr>
              <w:t>□50430□</w:t>
            </w:r>
            <w:r>
              <w:rPr>
                <w:rFonts w:ascii="宋体" w:hAnsi="宋体"/>
                <w:b/>
                <w:sz w:val="21"/>
                <w:szCs w:val="21"/>
              </w:rPr>
              <w:t xml:space="preserve">EMS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316" w:firstLineChars="150"/>
              <w:textAlignment w:val="auto"/>
              <w:rPr>
                <w:b/>
                <w:sz w:val="26"/>
                <w:szCs w:val="26"/>
              </w:rPr>
            </w:pPr>
            <w:r>
              <w:rPr>
                <w:rFonts w:hint="eastAsia" w:ascii="宋体" w:hAnsi="宋体"/>
                <w:b/>
                <w:sz w:val="21"/>
                <w:szCs w:val="21"/>
              </w:rPr>
              <w:t>延期推荐、不推荐或缩小认证范围的说明</w:t>
            </w:r>
            <w:r>
              <w:rPr>
                <w:rFonts w:ascii="宋体" w:hAnsi="宋体"/>
                <w:b/>
                <w:sz w:val="21"/>
                <w:szCs w:val="21"/>
              </w:rPr>
              <w:t>:</w:t>
            </w: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bookmarkStart w:id="26" w:name="_GoBack"/>
      <w:r>
        <w:rPr>
          <w:rFonts w:hint="eastAsia" w:eastAsia="宋体"/>
          <w:b/>
          <w:sz w:val="21"/>
          <w:lang w:eastAsia="zh-CN"/>
        </w:rPr>
        <w:drawing>
          <wp:anchor distT="0" distB="0" distL="114300" distR="114300" simplePos="0" relativeHeight="251660288" behindDoc="0" locked="0" layoutInCell="1" allowOverlap="1">
            <wp:simplePos x="0" y="0"/>
            <wp:positionH relativeFrom="column">
              <wp:posOffset>-631825</wp:posOffset>
            </wp:positionH>
            <wp:positionV relativeFrom="paragraph">
              <wp:posOffset>-98425</wp:posOffset>
            </wp:positionV>
            <wp:extent cx="6691630" cy="9646285"/>
            <wp:effectExtent l="0" t="0" r="1270" b="5715"/>
            <wp:wrapNone/>
            <wp:docPr id="1" name="图片 1" descr="审核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报告"/>
                    <pic:cNvPicPr>
                      <a:picLocks noChangeAspect="1"/>
                    </pic:cNvPicPr>
                  </pic:nvPicPr>
                  <pic:blipFill>
                    <a:blip r:embed="rId6"/>
                    <a:stretch>
                      <a:fillRect/>
                    </a:stretch>
                  </pic:blipFill>
                  <pic:spPr>
                    <a:xfrm>
                      <a:off x="0" y="0"/>
                      <a:ext cx="6691630" cy="9646285"/>
                    </a:xfrm>
                    <a:prstGeom prst="rect">
                      <a:avLst/>
                    </a:prstGeom>
                  </pic:spPr>
                </pic:pic>
              </a:graphicData>
            </a:graphic>
          </wp:anchor>
        </w:drawing>
      </w:r>
      <w:bookmarkEnd w:id="26"/>
    </w:p>
    <w:p>
      <w:pPr>
        <w:spacing w:before="163" w:beforeLines="50" w:after="163" w:afterLines="50"/>
        <w:ind w:left="-122" w:leftChars="-51" w:firstLine="120" w:firstLineChars="46"/>
        <w:rPr>
          <w:rFonts w:hint="eastAsia" w:ascii="Times New Roman" w:hAnsi="Times New Roman" w:cs="Times New Roman"/>
          <w:b/>
          <w:sz w:val="26"/>
          <w:szCs w:val="26"/>
        </w:rPr>
      </w:pPr>
      <w:r>
        <w:rPr>
          <w:rFonts w:hint="eastAsia" w:ascii="Times New Roman" w:hAnsi="Times New Roman" w:cs="Times New Roman"/>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ascii="Times New Roman" w:hAnsi="Times New Roman" w:cs="Times New Roman"/>
          <w:b/>
          <w:sz w:val="26"/>
          <w:szCs w:val="26"/>
        </w:rPr>
      </w:pPr>
      <w:r>
        <w:rPr>
          <w:rFonts w:hint="eastAsia" w:ascii="Times New Roman" w:hAnsi="Times New Roman" w:cs="Times New Roman"/>
          <w:b/>
          <w:sz w:val="26"/>
          <w:szCs w:val="26"/>
        </w:rPr>
        <w:t>十一、任何影响审核方案的重要事项：</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p>
    <w:p>
      <w:pPr>
        <w:pStyle w:val="2"/>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lang w:eastAsia="zh-CN"/>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rFonts w:hint="eastAsia"/>
          <w:b/>
          <w:sz w:val="21"/>
        </w:rPr>
      </w:pP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CE775"/>
    <w:multiLevelType w:val="singleLevel"/>
    <w:tmpl w:val="BDCCE775"/>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66273E5"/>
    <w:multiLevelType w:val="singleLevel"/>
    <w:tmpl w:val="566273E5"/>
    <w:lvl w:ilvl="0" w:tentative="0">
      <w:start w:val="9"/>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E90F74"/>
    <w:rsid w:val="2BD7119D"/>
    <w:rsid w:val="3266174C"/>
    <w:rsid w:val="355B1130"/>
    <w:rsid w:val="46C941A6"/>
    <w:rsid w:val="47D35B8B"/>
    <w:rsid w:val="52842E17"/>
    <w:rsid w:val="69E950FE"/>
    <w:rsid w:val="6D82448E"/>
    <w:rsid w:val="712F0226"/>
    <w:rsid w:val="750408E4"/>
    <w:rsid w:val="7DBB0B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semiHidden/>
    <w:qFormat/>
    <w:uiPriority w:val="99"/>
    <w:pPr>
      <w:spacing w:after="120"/>
      <w:ind w:left="420" w:leftChars="200"/>
    </w:pPr>
  </w:style>
  <w:style w:type="paragraph" w:styleId="5">
    <w:name w:val="Balloon Text"/>
    <w:basedOn w:val="1"/>
    <w:link w:val="11"/>
    <w:semiHidden/>
    <w:uiPriority w:val="99"/>
    <w:rPr>
      <w:sz w:val="18"/>
      <w:szCs w:val="18"/>
    </w:rPr>
  </w:style>
  <w:style w:type="paragraph" w:styleId="6">
    <w:name w:val="footer"/>
    <w:basedOn w:val="1"/>
    <w:link w:val="12"/>
    <w:semiHidden/>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locked/>
    <w:uiPriority w:val="99"/>
    <w:rPr>
      <w:rFonts w:ascii="Times New Roman" w:hAnsi="Times New Roman" w:eastAsia="宋体" w:cs="Times New Roman"/>
      <w:sz w:val="18"/>
      <w:szCs w:val="18"/>
    </w:rPr>
  </w:style>
  <w:style w:type="character" w:customStyle="1" w:styleId="12">
    <w:name w:val="页脚 Char"/>
    <w:link w:val="6"/>
    <w:semiHidden/>
    <w:qFormat/>
    <w:locked/>
    <w:uiPriority w:val="99"/>
    <w:rPr>
      <w:rFonts w:ascii="Times New Roman" w:hAnsi="Times New Roman" w:eastAsia="宋体" w:cs="Times New Roman"/>
      <w:sz w:val="18"/>
      <w:szCs w:val="18"/>
    </w:rPr>
  </w:style>
  <w:style w:type="character" w:customStyle="1" w:styleId="13">
    <w:name w:val="页眉 Char"/>
    <w:link w:val="7"/>
    <w:qFormat/>
    <w:locked/>
    <w:uiPriority w:val="0"/>
    <w:rPr>
      <w:sz w:val="18"/>
    </w:rPr>
  </w:style>
  <w:style w:type="character" w:customStyle="1" w:styleId="14">
    <w:name w:val="页眉 Char1"/>
    <w:semiHidden/>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9</TotalTime>
  <ScaleCrop>false</ScaleCrop>
  <LinksUpToDate>false</LinksUpToDate>
  <CharactersWithSpaces>4386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2020-07-01T05:57:46Z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