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受审核部门：数据数据测绘部       主管领导：邓春晨      陪同人员：李扬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审核员：李俐、陈延国          审核时间：2020年6月30日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审核条款：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QMS：5.3岗位/职责 /权限；6.2质量目标及其实现的策划；6.1.2应对风险和机遇的措施；8.5.1生产和服务提供的控制；8.5.2标识和可追溯性；8.5.3顾客或外部供方的财产；8.5.4防护；8.5.5交付后的活动； 8.5.6更改控制；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EMS：5.3组织的角色、职责和权限；6.1.2环境因素；6.2目标及其达成的策划；8.1运行策划和控制；8.2应急准备和响应；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OHSMS：4.4.1资源、角色、职责、责任与权限；4.3.3目标与方案；4.3.1危险源识别、评价和控制措施的确定； 4.4.6运行控制；4.4.7应急准备与响应。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部门及人员的职责和权限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QE5.3； 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S4.4.1</w:t>
            </w:r>
          </w:p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部门负责人：邓春晨     数据</w:t>
            </w: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数据测绘部的岗位职责和权限如下：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1）参与制定公司发展战略与年度经营计划；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2）负责公司测绘、土地调查归口管理，对外业完成的测绘成果进行数据整理。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3）负责服务过程安全管理；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4）领导建立和完善管理制度，组织实施并监督、检查服务体系的运行；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5）组织落实、监督调控服务过程各项质量、安全、成本指标等；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6）领导、管理基础设施维护，保证设备设施能够正常服务，设备处于良好状态；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7）负责区域内消防设施的定期检查并保证在有效期内使用；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8）综合平衡年度任务，制定下达月度计划，做到安全服务。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9）负责本部门环境因素、危险源的识别评价和控制措施的实施；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10）参与公司组织的应急演习、合规性评价、三标内审和三标管理评审</w:t>
            </w:r>
          </w:p>
          <w:p>
            <w:pPr>
              <w:spacing w:line="400" w:lineRule="exact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数据测绘部负责人对部门职责清楚。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部门职责清晰、明确。专业计量室负责人能基本阐述本部门的主要职责。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QE6.2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S4.3.3</w:t>
            </w:r>
          </w:p>
        </w:tc>
        <w:tc>
          <w:tcPr>
            <w:tcW w:w="10738" w:type="dxa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查有公司公司级管理目标，并按照部门对目标进行分解，有目标管理管理规定，规定了目标的分解及考核的具体方法。</w:t>
            </w:r>
          </w:p>
          <w:p>
            <w:pPr>
              <w:spacing w:line="400" w:lineRule="exact"/>
              <w:rPr>
                <w:rFonts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查设计部的质量、环境和安全目标为：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目标                                     完成情况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1）成果标识和防护有效率</w:t>
            </w: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≥98%；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1）成果标识和防护有效率</w:t>
            </w: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98%；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产品准时交付率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100%；                2)</w:t>
            </w: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产品准时交付率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100%；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3）设备完好率</w:t>
            </w: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≥98%；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3）设备完好率</w:t>
            </w: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98%；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Arial"/>
                <w:i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4）身体伤害为零；                      4）身体伤害为零；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5）固体废弃物分类处理率100%。          5）固体废弃物分类处理率100%。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查：2020年1-6月数据测绘部目标完成情况，均能达到要求。</w:t>
            </w:r>
          </w:p>
          <w:p>
            <w:pPr>
              <w:adjustRightInd w:val="0"/>
              <w:snapToGrid w:val="0"/>
              <w:spacing w:line="440" w:lineRule="exact"/>
              <w:ind w:right="-23"/>
              <w:rPr>
                <w:rFonts w:ascii="楷体" w:hAnsi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查，公司编制了环境安全目标管理实施方案：制定、执行程序或作业文件；加强监测和测量；培训与教育；应急响应。2020.6.25考核情况：经查已完成。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环境因素</w:t>
            </w:r>
            <w:r>
              <w:rPr>
                <w:rFonts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危险源辨识与评价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E:6.1.2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O:4.3.1</w:t>
            </w:r>
          </w:p>
          <w:p>
            <w:pPr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根据公司制订《环境因素识别与评价控制程序》和《危险源识别与风险评价控制程序》，专业计量室根据计量设备检测过程及工作特点对涉及的环境因素、危险源进行了识别和辨识。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该部门“重要环境因素清单”，重要环境因素为日常办公过程中固体废弃物排放、火灾事故的发生等2项重要环境因素。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控制措施：固废分类存放、办公危废交耗材供应公司，垃圾由环卫部门拉走，包装物分类卖掉，日常培训，日常检查，配备消防器材等措施。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提供“危险源辨识和风险评价一览表”，该部门的危险源有办公活动过程中电脑辐射、被桌柜撞伤、线路老化触电、火灾等。经评价本部门重大危险源：电器使用操作不当引起的触电、火灾事故。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危险源控制执行管理方案、配备消防器材、个体防护、日常检查、日常培训教育等运行控制措施等。</w:t>
            </w:r>
          </w:p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生产和服务提供的控制</w:t>
            </w: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产品和服务的放行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lef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lef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Q8.5.1</w:t>
            </w:r>
          </w:p>
          <w:p>
            <w:pPr>
              <w:pStyle w:val="2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left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Q8.6</w:t>
            </w:r>
          </w:p>
          <w:p>
            <w:pPr>
              <w:spacing w:line="360" w:lineRule="auto"/>
              <w:rPr>
                <w:rFonts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</w:tcPr>
          <w:p>
            <w:pPr>
              <w:spacing w:before="40" w:after="40" w:line="400" w:lineRule="exact"/>
              <w:ind w:firstLine="420" w:firstLineChars="20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公司质量文件，对数据测绘部部工作要求进行了相应的描述。</w:t>
            </w:r>
          </w:p>
          <w:p>
            <w:pPr>
              <w:spacing w:line="400" w:lineRule="exact"/>
              <w:ind w:right="-76" w:rightChars="-36"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公司提供《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测绘资料管理制度》、《工程测量规范》、《城市测量规范》等作业指导书</w:t>
            </w:r>
          </w:p>
          <w:p>
            <w:pPr>
              <w:spacing w:before="40" w:after="40" w:line="400" w:lineRule="exact"/>
              <w:ind w:firstLine="367" w:firstLineChars="17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数据测绘流程：客户需求——合同评审——签订合同——现场勘察、现场测绘——整理资料——归档备案</w:t>
            </w:r>
          </w:p>
          <w:p>
            <w:pPr>
              <w:spacing w:before="40" w:after="40" w:line="400" w:lineRule="exact"/>
              <w:ind w:firstLine="367" w:firstLineChars="17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查测绘情况，抽以往测绘资料。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抽《测绘技术服务合同》，合同编号：201912005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工程名称：田园东方·南京汤山游乐园测量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测绘范围（包括测区地点、面积,测区地理位置等）：地形图测量150亩；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测绘内容(包括测绘项目和工作量等)： 控制测量1公里,形图测量150亩。</w:t>
            </w:r>
          </w:p>
          <w:p>
            <w:pPr>
              <w:tabs>
                <w:tab w:val="left" w:pos="220"/>
              </w:tabs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提供《田园东方·南京汤山游乐园项目测量工作报告》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时间：2019年6月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内容：目的与意义、区域概况、调查任务及要求、前期准备：1.资料收集分析、踏勘；2.制定测量方案、项目执行情况：1.项目组织、人员投入情况；2.软、硬件投入情况；项目完成情况、技术设计执行情况：1作业技术依据；2项目实施、结论、提交成果资料：田园东方·南京汤山游乐园项目控制点成果表、田园东方·南京汤山游乐园项目地形图</w:t>
            </w:r>
          </w:p>
          <w:p>
            <w:pPr>
              <w:adjustRightInd w:val="0"/>
              <w:snapToGrid w:val="0"/>
              <w:spacing w:line="400" w:lineRule="exact"/>
              <w:ind w:left="1995" w:hanging="1995" w:hangingChars="9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项目负责：尤才   技术负责：任安领    报告编写：任安领  程相    审核人：张占奎。</w:t>
            </w:r>
          </w:p>
          <w:p>
            <w:pPr>
              <w:tabs>
                <w:tab w:val="left" w:pos="220"/>
              </w:tabs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查测绘报告，摘要：</w:t>
            </w:r>
          </w:p>
          <w:p>
            <w:pPr>
              <w:pStyle w:val="2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pict>
                <v:shape id="_x0000_s1071" o:spid="_x0000_s1071" o:spt="75" alt="12d5e486504b60ae1801c9ca4a51b89" type="#_x0000_t75" style="position:absolute;left:0pt;margin-left:139.5pt;margin-top:11.75pt;height:193.95pt;width:134.6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12d5e486504b60ae1801c9ca4a51b89"/>
                  <o:lock v:ext="edit" aspectratio="t"/>
                </v:shape>
              </w:pic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pict>
                <v:shape id="_x0000_s1069" o:spid="_x0000_s1069" o:spt="75" alt="eb4ae4aa12483065f79c312eb26524b" type="#_x0000_t75" style="position:absolute;left:0pt;margin-left:-1.5pt;margin-top:9pt;height:191.7pt;width:131.05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7" o:title="eb4ae4aa12483065f79c312eb26524b"/>
                  <o:lock v:ext="edit" aspectratio="t"/>
                </v:shape>
              </w:pi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shape id="_x0000_s1067" o:spid="_x0000_s1067" o:spt="75" alt="33586b7efd33e24ba67921929355126" type="#_x0000_t75" style="position:absolute;left:0pt;margin-left:253.6pt;margin-top:14.6pt;height:186.9pt;width:278.75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8" cropleft="755f" o:title="33586b7efd33e24ba67921929355126"/>
                  <o:lock v:ext="edit" aspectratio="t"/>
                </v:shape>
              </w:pict>
            </w: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0"/>
              </w:tabs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0"/>
              </w:tabs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0"/>
              </w:tabs>
              <w:spacing w:line="4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土地调查流程：合同签订——测绘勘察——数据整理、出图——报告编制。</w:t>
            </w:r>
          </w:p>
          <w:p>
            <w:pPr>
              <w:spacing w:before="40" w:after="40" w:line="4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查土地调查情况，现暂无调查项目运行，抽以往运行资料。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抽《测绘技术服务协议》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常熟市农村不动产权籍调查勘丈及检测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作业内容：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古里镇、董浜镇、莫城街道、琴川街道、虞山街道农村不动产权籍调查外业勘丈及检测;其它乡镇农村不动产权籍调查外业勘丈及检测;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委托人：江苏省金威测绘服务中心</w:t>
            </w:r>
          </w:p>
          <w:p>
            <w:pPr>
              <w:spacing w:line="400" w:lineRule="exact"/>
              <w:ind w:right="-76" w:rightChars="-36" w:firstLine="525" w:firstLineChars="250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签订日期：2019.11.16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土地调查工作报告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时间：2020.6.25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报告内容：概况、地质环境条件、地质灾害危险性现状评估、地质灾害危险性预测评估、地质灾害危险性综合评估及防治措施、结论与建议等。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编制：刘晗竹，审核：尤才，批准：张占奎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确认客户：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滨海县自然和规划局</w:t>
            </w:r>
          </w:p>
          <w:p>
            <w:pPr>
              <w:pStyle w:val="3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通过以上审核，其勘察、测绘过程基本受控</w:t>
            </w:r>
          </w:p>
          <w:p>
            <w:pPr>
              <w:pStyle w:val="3"/>
              <w:ind w:lef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spacing w:line="400" w:lineRule="atLeas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标识及可追溯性</w:t>
            </w:r>
          </w:p>
        </w:tc>
        <w:tc>
          <w:tcPr>
            <w:tcW w:w="960" w:type="dxa"/>
          </w:tcPr>
          <w:p>
            <w:pPr>
              <w:spacing w:line="400" w:lineRule="atLeast"/>
              <w:ind w:right="-158" w:rightChars="-7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Q:8.5.2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现场查见，公司过程中对标识和可追溯性进行了规定。规定每个产品成果必须标识名称、编号、编制人、编制时间，若有修改，必须注明修改时间、修改人、修改内容等。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对于输出资料（图纸、说明书等），必须有编号、文件名、版本号等进行标识。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标识基本符合要求。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顾客或外部供方的财产</w:t>
            </w:r>
          </w:p>
        </w:tc>
        <w:tc>
          <w:tcPr>
            <w:tcW w:w="960" w:type="dxa"/>
          </w:tcPr>
          <w:p>
            <w:pPr>
              <w:spacing w:line="400" w:lineRule="atLeast"/>
              <w:ind w:right="-158" w:rightChars="-7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Q:8.5.3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</w:tcPr>
          <w:p>
            <w:pPr>
              <w:widowControl/>
              <w:spacing w:line="40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查，公司对顾客财产的管理要求。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询问部门负责人，公司的顾客财产主要为顾客信息，图纸，公司对顾客财产进行了登记管理。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现场查看，顾客财产管理基本受控。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防护</w:t>
            </w: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Q:8.5.4</w:t>
            </w:r>
          </w:p>
        </w:tc>
        <w:tc>
          <w:tcPr>
            <w:tcW w:w="10738" w:type="dxa"/>
          </w:tcPr>
          <w:p>
            <w:pPr>
              <w:spacing w:line="400" w:lineRule="atLeas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防护：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查见，公司对运行环境提出要求，过程中安装必要的杀毒软件，避免操作软件使用过程中被破坏。同时，对于输出均采取备份，成果均采取加密保存，防止外泄。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防护基本符合要求。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交付后活动</w:t>
            </w:r>
          </w:p>
        </w:tc>
        <w:tc>
          <w:tcPr>
            <w:tcW w:w="960" w:type="dxa"/>
          </w:tcPr>
          <w:p>
            <w:pPr>
              <w:spacing w:line="400" w:lineRule="exact"/>
              <w:ind w:right="-158" w:rightChars="-75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Q:8.5.5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8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查问，对于已经交付的产品，公司承诺：产品交付后随时跟踪质量状况，发现问题，及时上门进行解决。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查，公司策划了售后管理的要求。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具体见8.5.1审核。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更改控制</w:t>
            </w: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Q8.5.6</w:t>
            </w:r>
          </w:p>
        </w:tc>
        <w:tc>
          <w:tcPr>
            <w:tcW w:w="10738" w:type="dxa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查，公司对产品实现过程的更改策划了管理要求。主要包括：方案更改、参数更改等。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现场查，公司对于更改信息的管理，均为重新发放更改文件，并回收作废的文件。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查，对于方案、参数信息等更改，必须经过评审，确认能满足要求后方能进行，具体按文件管理要求。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查，变更的情况。暂无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E6.1.2</w:t>
            </w:r>
          </w:p>
        </w:tc>
        <w:tc>
          <w:tcPr>
            <w:tcW w:w="10738" w:type="dxa"/>
          </w:tcPr>
          <w:p>
            <w:pPr>
              <w:pStyle w:val="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依据《环境因素、危险因素的识别与评价》，根据不同的时态、状态识别了环境因素，通过对其发生的可能性、危害性等进行评价，设计部确定的重要环境因素有：潜在火灾、办公场所固废的排放。识别、评价基本合理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危险源识别、评价与控制措施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S4.3.1 </w:t>
            </w:r>
          </w:p>
        </w:tc>
        <w:tc>
          <w:tcPr>
            <w:tcW w:w="10738" w:type="dxa"/>
          </w:tcPr>
          <w:p>
            <w:pPr>
              <w:pStyle w:val="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查，设计部经过辨识与评审形成了《危险源辨识与风险评价表》共识别出9项危险源，包括电气使用不当造成火灾；设备漏电、线路老化造成触电伤人；上下班途中、公事外出途中交通事故、中暑等潜在危险源。</w:t>
            </w:r>
          </w:p>
          <w:p>
            <w:pPr>
              <w:pStyle w:val="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采用的是经验判断法、过程分析法识别。</w:t>
            </w:r>
          </w:p>
          <w:p>
            <w:pPr>
              <w:pStyle w:val="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打分法确定重大风险：1火灾）；2触电）。危险源辨识基本充分、风险等级评价基本合理。</w:t>
            </w:r>
          </w:p>
          <w:p>
            <w:pPr>
              <w:pStyle w:val="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查，风险控制措施有：  </w:t>
            </w:r>
          </w:p>
          <w:p>
            <w:pPr>
              <w:pStyle w:val="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安全知识、消防知识宣传、教育及培训；</w:t>
            </w:r>
          </w:p>
          <w:p>
            <w:pPr>
              <w:pStyle w:val="5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定期安全检查等。</w:t>
            </w:r>
          </w:p>
          <w:p>
            <w:pPr>
              <w:pStyle w:val="5"/>
              <w:spacing w:line="4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危险源识别基本充分，控制措施需要完善。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E8.1 </w:t>
            </w:r>
          </w:p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S4.4.6</w:t>
            </w:r>
          </w:p>
        </w:tc>
        <w:tc>
          <w:tcPr>
            <w:tcW w:w="10738" w:type="dxa"/>
          </w:tcPr>
          <w:p>
            <w:pPr>
              <w:pStyle w:val="5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测绘部实施以下环境安全管理制度：《运行控制程序》、《节约用电用水管理制度》、《固体废弃物管理制度》《消防安全管理制度》、《用电安全管理规定》、《公司劳动安全管理办法》、《消防器材管理规定程序》、《火灾事故应急救援预案》、《劳动防护用品管理制度》等。</w:t>
            </w: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1、废水管控：企业无工业废水，厂区生活废水流入市政管网。</w:t>
            </w: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2、废气管控：无废气排放。</w:t>
            </w: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3、噪声管控：无噪声排放。</w:t>
            </w:r>
          </w:p>
          <w:p>
            <w:pPr>
              <w:pStyle w:val="5"/>
              <w:spacing w:line="240" w:lineRule="auto"/>
              <w:jc w:val="both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4、固废管控：办公废旧硒鼓/墨盒，由供应商回收。生活垃圾由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园区管委会负责处理。</w:t>
            </w: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能源资源管控：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办公用纸采用双面打印、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注意节水、节电，人走关闭设备和照明开关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对相关方进行了环保要求告知。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据介绍，公司产品服务流程为：</w:t>
            </w:r>
          </w:p>
          <w:p>
            <w:pPr>
              <w:pStyle w:val="5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土地调查流程：合同签订——测绘勘察——数据整理、出图——报告编制</w:t>
            </w:r>
          </w:p>
          <w:p>
            <w:pPr>
              <w:pStyle w:val="5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测绘流程：了解客户需求——合同评审——签订合同——现场勘察、现场测绘——整理资料——归档备案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查不可接受风险源：1）火灾；2）触电；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查重要环境因素：潜在火灾；固废排放；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查看，公司制订的相应的安全管理制度及管理方案，对不可接受风险源进行管控。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1、潜在火灾管控：配备灭火器。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2、安全防护：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现场电线布线合理，漏电保护器状态良好。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3、为主要长期员工上社保、工伤保险。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4、为环境和职业健康安全管理体系运行提供了财务支持。</w:t>
            </w:r>
          </w:p>
          <w:p>
            <w:pPr>
              <w:pStyle w:val="5"/>
              <w:spacing w:line="360" w:lineRule="auto"/>
              <w:ind w:left="0" w:leftChars="0"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5、员工饮用水为纯净水通过饮水机饮用。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据称：对火灾应急设施、安防设施运行情况等进行了检查维护。如：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查，服务现场张贴有“请勿吸烟”标识；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现场查看：服务现场未发现大功率电器使用。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现场查看：现场电线有穿管保护，固定布局、现场有禁止吸烟提醒。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现场查看：查见办公和服务过程中产生的废弃物等一般固废有处理，能提供固废管理运行检查记录。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现场查看：查见在办公现场卫生间有防滑、防跌警告标识；</w:t>
            </w:r>
          </w:p>
          <w:p>
            <w:pPr>
              <w:pStyle w:val="5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现场查看：有灭火器材放置区；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E8.2</w:t>
            </w:r>
          </w:p>
          <w:p>
            <w:pPr>
              <w:rPr>
                <w:rFonts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S4.4.7</w:t>
            </w:r>
          </w:p>
        </w:tc>
        <w:tc>
          <w:tcPr>
            <w:tcW w:w="10738" w:type="dxa"/>
          </w:tcPr>
          <w:p>
            <w:pPr>
              <w:pStyle w:val="5"/>
              <w:spacing w:line="400" w:lineRule="exact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查见：《应急准备和响应程序》、《消防与疏散演习实施方案》</w:t>
            </w:r>
          </w:p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查2019.8.7日参加了</w:t>
            </w:r>
            <w:bookmarkStart w:id="0" w:name="_GoBack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园区</w:t>
            </w:r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</w:rPr>
              <w:t>组织的火灾预案演练，提供了相关记录。</w:t>
            </w:r>
          </w:p>
          <w:p>
            <w:pPr>
              <w:pStyle w:val="5"/>
              <w:spacing w:line="400" w:lineRule="exact"/>
              <w:ind w:left="0" w:leftChars="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疫情期间，2020.3.1，全体工作人员的在办公室组织下，参加了公司组织的“火灾消防知识培训”和“新型冠状防疫手册”的培训。</w:t>
            </w:r>
          </w:p>
        </w:tc>
        <w:tc>
          <w:tcPr>
            <w:tcW w:w="851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</w:pPr>
    </w:p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49</w:t>
    </w:r>
    <w:r>
      <w:rPr>
        <w:b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</w:rPr>
    </w:pPr>
    <w:r>
      <w:pict>
        <v:shape id="_x0000_s3073" o:spid="_x0000_s3073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7"/>
        <w:rFonts w:hint="eastAsia"/>
      </w:rPr>
      <w:t>北京国标联合认证有限公司</w:t>
    </w:r>
    <w:r>
      <w:rPr>
        <w:rStyle w:val="17"/>
      </w:rPr>
      <w:tab/>
    </w:r>
    <w:r>
      <w:rPr>
        <w:rStyle w:val="17"/>
      </w:rPr>
      <w:tab/>
    </w:r>
    <w:r>
      <w:rPr>
        <w:rStyle w:val="17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w:pict>
        <v:shape id="文本框 1" o:spid="_x0000_s3074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  <w:p/>
            </w:txbxContent>
          </v:textbox>
        </v:shape>
      </w:pict>
    </w:r>
    <w:r>
      <w:rPr>
        <w:rStyle w:val="17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51BD"/>
    <w:rsid w:val="000D2823"/>
    <w:rsid w:val="000F0D61"/>
    <w:rsid w:val="000F0F7E"/>
    <w:rsid w:val="000F2F92"/>
    <w:rsid w:val="00131AC7"/>
    <w:rsid w:val="00133F48"/>
    <w:rsid w:val="00153815"/>
    <w:rsid w:val="00153BAF"/>
    <w:rsid w:val="00170B0D"/>
    <w:rsid w:val="00176E59"/>
    <w:rsid w:val="0017723E"/>
    <w:rsid w:val="00193594"/>
    <w:rsid w:val="0019698C"/>
    <w:rsid w:val="001A0D03"/>
    <w:rsid w:val="001B25DE"/>
    <w:rsid w:val="001C6C63"/>
    <w:rsid w:val="001D45A7"/>
    <w:rsid w:val="001D52D6"/>
    <w:rsid w:val="001E0917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3E21"/>
    <w:rsid w:val="002A4508"/>
    <w:rsid w:val="002B33F0"/>
    <w:rsid w:val="002D3565"/>
    <w:rsid w:val="00303300"/>
    <w:rsid w:val="00351198"/>
    <w:rsid w:val="00353935"/>
    <w:rsid w:val="00354550"/>
    <w:rsid w:val="00354BEE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6E9E"/>
    <w:rsid w:val="004801A0"/>
    <w:rsid w:val="004815EB"/>
    <w:rsid w:val="004B6927"/>
    <w:rsid w:val="004C6812"/>
    <w:rsid w:val="004F443E"/>
    <w:rsid w:val="00512602"/>
    <w:rsid w:val="00530F23"/>
    <w:rsid w:val="005332F3"/>
    <w:rsid w:val="00552571"/>
    <w:rsid w:val="005560EC"/>
    <w:rsid w:val="00560DB6"/>
    <w:rsid w:val="00561940"/>
    <w:rsid w:val="00567A42"/>
    <w:rsid w:val="005752A6"/>
    <w:rsid w:val="00581BB9"/>
    <w:rsid w:val="005A1ED2"/>
    <w:rsid w:val="005A4889"/>
    <w:rsid w:val="005C20AE"/>
    <w:rsid w:val="005E7E15"/>
    <w:rsid w:val="00600C20"/>
    <w:rsid w:val="00610CCF"/>
    <w:rsid w:val="00614C4D"/>
    <w:rsid w:val="00620D5E"/>
    <w:rsid w:val="006310F1"/>
    <w:rsid w:val="00640B4D"/>
    <w:rsid w:val="006510E0"/>
    <w:rsid w:val="006743FE"/>
    <w:rsid w:val="00697127"/>
    <w:rsid w:val="006F1DC2"/>
    <w:rsid w:val="00701B19"/>
    <w:rsid w:val="00703F6B"/>
    <w:rsid w:val="00712323"/>
    <w:rsid w:val="007438B3"/>
    <w:rsid w:val="0074390F"/>
    <w:rsid w:val="00760FB8"/>
    <w:rsid w:val="007620A1"/>
    <w:rsid w:val="007702BC"/>
    <w:rsid w:val="007757F3"/>
    <w:rsid w:val="00790B70"/>
    <w:rsid w:val="007B7F25"/>
    <w:rsid w:val="007C5E3B"/>
    <w:rsid w:val="007F0444"/>
    <w:rsid w:val="00801158"/>
    <w:rsid w:val="00802116"/>
    <w:rsid w:val="00803593"/>
    <w:rsid w:val="00812FB7"/>
    <w:rsid w:val="00823D21"/>
    <w:rsid w:val="00824A66"/>
    <w:rsid w:val="00827780"/>
    <w:rsid w:val="008467DB"/>
    <w:rsid w:val="00847CA6"/>
    <w:rsid w:val="00863941"/>
    <w:rsid w:val="0087523E"/>
    <w:rsid w:val="008846D0"/>
    <w:rsid w:val="008973EE"/>
    <w:rsid w:val="008A3324"/>
    <w:rsid w:val="008A5298"/>
    <w:rsid w:val="008C1B99"/>
    <w:rsid w:val="008C6391"/>
    <w:rsid w:val="008E6797"/>
    <w:rsid w:val="008F045B"/>
    <w:rsid w:val="00914C10"/>
    <w:rsid w:val="009164AE"/>
    <w:rsid w:val="0091775C"/>
    <w:rsid w:val="00951529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61C46"/>
    <w:rsid w:val="00A6299B"/>
    <w:rsid w:val="00A85752"/>
    <w:rsid w:val="00A91162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7631"/>
    <w:rsid w:val="00D57A07"/>
    <w:rsid w:val="00D61AC0"/>
    <w:rsid w:val="00D7291B"/>
    <w:rsid w:val="00D97C9F"/>
    <w:rsid w:val="00DA547C"/>
    <w:rsid w:val="00DD047E"/>
    <w:rsid w:val="00DD35E1"/>
    <w:rsid w:val="00DD5D57"/>
    <w:rsid w:val="00E02963"/>
    <w:rsid w:val="00E057F8"/>
    <w:rsid w:val="00E27414"/>
    <w:rsid w:val="00E34131"/>
    <w:rsid w:val="00E6224C"/>
    <w:rsid w:val="00E67F6B"/>
    <w:rsid w:val="00E7027E"/>
    <w:rsid w:val="00E83DA5"/>
    <w:rsid w:val="00E9127E"/>
    <w:rsid w:val="00E97B40"/>
    <w:rsid w:val="00EA6FEB"/>
    <w:rsid w:val="00EC08C4"/>
    <w:rsid w:val="00EC4201"/>
    <w:rsid w:val="00EE2282"/>
    <w:rsid w:val="00EF68C3"/>
    <w:rsid w:val="00F00235"/>
    <w:rsid w:val="00F74248"/>
    <w:rsid w:val="00F81AA1"/>
    <w:rsid w:val="00F84329"/>
    <w:rsid w:val="00F9511B"/>
    <w:rsid w:val="00F97461"/>
    <w:rsid w:val="00FA70AD"/>
    <w:rsid w:val="00FC0249"/>
    <w:rsid w:val="00FF3A70"/>
    <w:rsid w:val="00FF5E73"/>
    <w:rsid w:val="00FF762E"/>
    <w:rsid w:val="01A4643E"/>
    <w:rsid w:val="02310203"/>
    <w:rsid w:val="03634531"/>
    <w:rsid w:val="061B3FA5"/>
    <w:rsid w:val="0B151983"/>
    <w:rsid w:val="10513DE6"/>
    <w:rsid w:val="119E23A6"/>
    <w:rsid w:val="131D441E"/>
    <w:rsid w:val="170D272B"/>
    <w:rsid w:val="17B03700"/>
    <w:rsid w:val="1A567EE1"/>
    <w:rsid w:val="1B491817"/>
    <w:rsid w:val="200D2952"/>
    <w:rsid w:val="23641043"/>
    <w:rsid w:val="23DA24D4"/>
    <w:rsid w:val="25051887"/>
    <w:rsid w:val="2931136E"/>
    <w:rsid w:val="2E45138A"/>
    <w:rsid w:val="302D35E2"/>
    <w:rsid w:val="332B31D1"/>
    <w:rsid w:val="37010A62"/>
    <w:rsid w:val="376F1DA2"/>
    <w:rsid w:val="3EC30777"/>
    <w:rsid w:val="3F7842C8"/>
    <w:rsid w:val="449317F4"/>
    <w:rsid w:val="504E78C3"/>
    <w:rsid w:val="55DB5DDE"/>
    <w:rsid w:val="5DCF56B6"/>
    <w:rsid w:val="6B64026B"/>
    <w:rsid w:val="6C8025DE"/>
    <w:rsid w:val="71915FA8"/>
    <w:rsid w:val="74422152"/>
    <w:rsid w:val="75802F53"/>
    <w:rsid w:val="75C93055"/>
    <w:rsid w:val="79D66BAC"/>
    <w:rsid w:val="7B4D4D02"/>
    <w:rsid w:val="7B5823A5"/>
    <w:rsid w:val="7B6E034C"/>
    <w:rsid w:val="7C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semiHidden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1"/>
    <w:qFormat/>
    <w:uiPriority w:val="99"/>
    <w:rPr>
      <w:rFonts w:ascii="宋体" w:hAnsi="Courier New"/>
    </w:rPr>
  </w:style>
  <w:style w:type="paragraph" w:styleId="7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link w:val="19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批注框文本 字符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8">
    <w:name w:val="正文文本缩进 字符"/>
    <w:link w:val="5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9">
    <w:name w:val="正文文本首行缩进 2 字符"/>
    <w:link w:val="10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paragraph" w:customStyle="1" w:styleId="20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21">
    <w:name w:val="纯文本 字符"/>
    <w:link w:val="6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1071"/>
    <customShpInfo spid="_x0000_s1069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622</Words>
  <Characters>3550</Characters>
  <Lines>29</Lines>
  <Paragraphs>8</Paragraphs>
  <TotalTime>1</TotalTime>
  <ScaleCrop>false</ScaleCrop>
  <LinksUpToDate>false</LinksUpToDate>
  <CharactersWithSpaces>4164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2020-07-01T06:51:37Z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